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BE4B4" w14:textId="029DCB97" w:rsidR="00687DAA" w:rsidRDefault="00161B37" w:rsidP="004E5291">
      <w:pPr>
        <w:spacing w:before="60"/>
        <w:ind w:left="187"/>
        <w:rPr>
          <w:b/>
          <w:color w:val="FFFFFF" w:themeColor="background1"/>
        </w:rPr>
      </w:pPr>
      <w:r w:rsidRPr="00687DAA">
        <w:rPr>
          <w:b/>
          <w:noProof/>
          <w:color w:val="FFFFFF" w:themeColor="background1"/>
        </w:rPr>
        <w:drawing>
          <wp:anchor distT="0" distB="0" distL="114300" distR="114300" simplePos="0" relativeHeight="251696128" behindDoc="1" locked="0" layoutInCell="1" allowOverlap="1" wp14:anchorId="6F49E836" wp14:editId="1210F26C">
            <wp:simplePos x="0" y="0"/>
            <wp:positionH relativeFrom="margin">
              <wp:posOffset>76200</wp:posOffset>
            </wp:positionH>
            <wp:positionV relativeFrom="paragraph">
              <wp:posOffset>94615</wp:posOffset>
            </wp:positionV>
            <wp:extent cx="2400300" cy="679192"/>
            <wp:effectExtent l="0" t="0" r="0" b="6985"/>
            <wp:wrapNone/>
            <wp:docPr id="1" name="Picture 1" descr="Rhode Island Division of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de Island Division of Purchases"/>
                    <pic:cNvPicPr>
                      <a:picLocks noChangeAspect="1" noChangeArrowheads="1"/>
                    </pic:cNvPicPr>
                  </pic:nvPicPr>
                  <pic:blipFill rotWithShape="1">
                    <a:blip r:embed="rId8">
                      <a:extLst>
                        <a:ext uri="{28A0092B-C50C-407E-A947-70E740481C1C}">
                          <a14:useLocalDpi xmlns:a14="http://schemas.microsoft.com/office/drawing/2010/main" val="0"/>
                        </a:ext>
                      </a:extLst>
                    </a:blip>
                    <a:srcRect r="34871"/>
                    <a:stretch/>
                  </pic:blipFill>
                  <pic:spPr bwMode="auto">
                    <a:xfrm>
                      <a:off x="0" y="0"/>
                      <a:ext cx="2400300" cy="6791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DAA" w:rsidRPr="00687DAA">
        <w:rPr>
          <w:b/>
          <w:noProof/>
          <w:color w:val="FFFFFF" w:themeColor="background1"/>
        </w:rPr>
        <mc:AlternateContent>
          <mc:Choice Requires="wps">
            <w:drawing>
              <wp:anchor distT="45720" distB="45720" distL="114300" distR="114300" simplePos="0" relativeHeight="251698176" behindDoc="0" locked="0" layoutInCell="1" allowOverlap="1" wp14:anchorId="3F876BBF" wp14:editId="75933062">
                <wp:simplePos x="0" y="0"/>
                <wp:positionH relativeFrom="column">
                  <wp:posOffset>3486150</wp:posOffset>
                </wp:positionH>
                <wp:positionV relativeFrom="paragraph">
                  <wp:posOffset>205740</wp:posOffset>
                </wp:positionV>
                <wp:extent cx="4162425"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47675"/>
                        </a:xfrm>
                        <a:prstGeom prst="rect">
                          <a:avLst/>
                        </a:prstGeom>
                        <a:noFill/>
                        <a:ln w="9525">
                          <a:noFill/>
                          <a:miter lim="800000"/>
                          <a:headEnd/>
                          <a:tailEnd/>
                        </a:ln>
                      </wps:spPr>
                      <wps:txbx>
                        <w:txbxContent>
                          <w:p w14:paraId="7DA8D24C" w14:textId="746D2FDE" w:rsidR="00687DAA" w:rsidRPr="00161B37" w:rsidRDefault="00146832" w:rsidP="00687DAA">
                            <w:pPr>
                              <w:spacing w:after="0" w:line="240" w:lineRule="auto"/>
                              <w:jc w:val="center"/>
                              <w:rPr>
                                <w:b/>
                                <w:color w:val="FFFFFF" w:themeColor="background1"/>
                                <w:sz w:val="32"/>
                                <w:szCs w:val="32"/>
                              </w:rPr>
                            </w:pPr>
                            <w:r>
                              <w:rPr>
                                <w:b/>
                                <w:color w:val="FFFFFF" w:themeColor="background1"/>
                                <w:sz w:val="32"/>
                                <w:szCs w:val="32"/>
                              </w:rPr>
                              <w:t>Procurement Needs Assessment Worksheet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876BBF" id="_x0000_t202" coordsize="21600,21600" o:spt="202" path="m,l,21600r21600,l21600,xe">
                <v:stroke joinstyle="miter"/>
                <v:path gradientshapeok="t" o:connecttype="rect"/>
              </v:shapetype>
              <v:shape id="Text Box 2" o:spid="_x0000_s1026" type="#_x0000_t202" style="position:absolute;left:0;text-align:left;margin-left:274.5pt;margin-top:16.2pt;width:327.75pt;height:35.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" filled="f" stroked="f">
                <v:textbox>
                  <w:txbxContent>
                    <w:p w14:paraId="7DA8D24C" w14:textId="746D2FDE" w:rsidR="00687DAA" w:rsidRPr="00161B37" w:rsidRDefault="00146832" w:rsidP="00687DAA">
                      <w:pPr>
                        <w:spacing w:after="0" w:line="240" w:lineRule="auto"/>
                        <w:jc w:val="center"/>
                        <w:rPr>
                          <w:b/>
                          <w:color w:val="FFFFFF" w:themeColor="background1"/>
                          <w:sz w:val="32"/>
                          <w:szCs w:val="32"/>
                        </w:rPr>
                      </w:pPr>
                      <w:r>
                        <w:rPr>
                          <w:b/>
                          <w:color w:val="FFFFFF" w:themeColor="background1"/>
                          <w:sz w:val="32"/>
                          <w:szCs w:val="32"/>
                        </w:rPr>
                        <w:t>Procurement Needs Assessment Worksheet</w:t>
                      </w:r>
                    </w:p>
                  </w:txbxContent>
                </v:textbox>
                <w10:wrap type="square"/>
              </v:shape>
            </w:pict>
          </mc:Fallback>
        </mc:AlternateContent>
      </w:r>
      <w:r w:rsidR="00687DAA" w:rsidRPr="00687DAA">
        <w:rPr>
          <w:b/>
          <w:noProof/>
          <w:color w:val="FFFFFF" w:themeColor="background1"/>
        </w:rPr>
        <mc:AlternateContent>
          <mc:Choice Requires="wps">
            <w:drawing>
              <wp:anchor distT="0" distB="0" distL="114300" distR="114300" simplePos="0" relativeHeight="251695104" behindDoc="1" locked="0" layoutInCell="1" allowOverlap="1" wp14:anchorId="6B2EF96E" wp14:editId="2F28D7F6">
                <wp:simplePos x="0" y="0"/>
                <wp:positionH relativeFrom="margin">
                  <wp:posOffset>0</wp:posOffset>
                </wp:positionH>
                <wp:positionV relativeFrom="paragraph">
                  <wp:posOffset>0</wp:posOffset>
                </wp:positionV>
                <wp:extent cx="8210550" cy="833755"/>
                <wp:effectExtent l="0" t="0" r="19050" b="23495"/>
                <wp:wrapNone/>
                <wp:docPr id="2" name="Rectangle 2"/>
                <wp:cNvGraphicFramePr/>
                <a:graphic xmlns:a="http://schemas.openxmlformats.org/drawingml/2006/main">
                  <a:graphicData uri="http://schemas.microsoft.com/office/word/2010/wordprocessingShape">
                    <wps:wsp>
                      <wps:cNvSpPr/>
                      <wps:spPr>
                        <a:xfrm>
                          <a:off x="0" y="0"/>
                          <a:ext cx="8210550" cy="833755"/>
                        </a:xfrm>
                        <a:prstGeom prst="rect">
                          <a:avLst/>
                        </a:prstGeom>
                        <a:solidFill>
                          <a:srgbClr val="003A67"/>
                        </a:solidFill>
                        <a:ln>
                          <a:solidFill>
                            <a:srgbClr val="003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18F31" id="Rectangle 2" o:spid="_x0000_s1026" style="position:absolute;margin-left:0;margin-top:0;width:646.5pt;height:65.6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" fillcolor="#003a67" strokecolor="#003a67" strokeweight="1pt">
                <w10:wrap anchorx="margin"/>
              </v:rect>
            </w:pict>
          </mc:Fallback>
        </mc:AlternateContent>
      </w:r>
    </w:p>
    <w:p w14:paraId="6785AA4F" w14:textId="77777777" w:rsidR="00687DAA" w:rsidRDefault="00687DAA" w:rsidP="004E5291">
      <w:pPr>
        <w:spacing w:before="60"/>
        <w:ind w:left="187"/>
        <w:rPr>
          <w:b/>
          <w:color w:val="FFFFFF" w:themeColor="background1"/>
        </w:rPr>
      </w:pPr>
    </w:p>
    <w:p w14:paraId="73FB8459" w14:textId="77777777" w:rsidR="00687DAA" w:rsidRDefault="00687DAA" w:rsidP="004E5291">
      <w:pPr>
        <w:spacing w:before="60"/>
        <w:ind w:left="187"/>
        <w:rPr>
          <w:b/>
          <w:color w:val="FFFFFF" w:themeColor="background1"/>
        </w:rPr>
      </w:pPr>
    </w:p>
    <w:p w14:paraId="7A17E110" w14:textId="0AD1D460" w:rsidR="00483014" w:rsidRPr="00483014" w:rsidRDefault="00483014" w:rsidP="00554743">
      <w:pPr>
        <w:rPr>
          <w:i/>
        </w:rPr>
      </w:pPr>
      <w:r>
        <w:rPr>
          <w:i/>
        </w:rPr>
        <w:t>Completing this worksheet allows your team to map out what you need to p</w:t>
      </w:r>
      <w:bookmarkStart w:id="0" w:name="_GoBack"/>
      <w:bookmarkEnd w:id="0"/>
      <w:r>
        <w:rPr>
          <w:i/>
        </w:rPr>
        <w:t>rocure and why. This information can then be used to present the business case to internal stakeholders</w:t>
      </w:r>
      <w:r w:rsidR="004E5291">
        <w:rPr>
          <w:i/>
        </w:rPr>
        <w:t>, identify outstanding questions, and gather consensus</w:t>
      </w:r>
      <w:r>
        <w:rPr>
          <w:i/>
        </w:rPr>
        <w:t>. Ultimately, your team’s answers to the</w:t>
      </w:r>
      <w:r w:rsidR="00D20BC3">
        <w:rPr>
          <w:i/>
        </w:rPr>
        <w:t>se</w:t>
      </w:r>
      <w:r>
        <w:rPr>
          <w:i/>
        </w:rPr>
        <w:t xml:space="preserve"> questions should closely inform the solicitation for this procurement.</w:t>
      </w:r>
      <w:r w:rsidR="00D20BC3">
        <w:rPr>
          <w:i/>
        </w:rPr>
        <w:t xml:space="preserve"> See the reverse side for example responses.</w:t>
      </w:r>
    </w:p>
    <w:tbl>
      <w:tblPr>
        <w:tblStyle w:val="TableGrid"/>
        <w:tblW w:w="13045" w:type="dxa"/>
        <w:tblCellMar>
          <w:left w:w="115" w:type="dxa"/>
          <w:bottom w:w="58" w:type="dxa"/>
          <w:right w:w="115" w:type="dxa"/>
        </w:tblCellMar>
        <w:tblLook w:val="04A0" w:firstRow="1" w:lastRow="0" w:firstColumn="1" w:lastColumn="0" w:noHBand="0" w:noVBand="1"/>
      </w:tblPr>
      <w:tblGrid>
        <w:gridCol w:w="4348"/>
        <w:gridCol w:w="4348"/>
        <w:gridCol w:w="4349"/>
      </w:tblGrid>
      <w:tr w:rsidR="00554743" w14:paraId="70F352B1" w14:textId="77777777" w:rsidTr="00C16EDD">
        <w:tc>
          <w:tcPr>
            <w:tcW w:w="4348" w:type="dxa"/>
            <w:shd w:val="clear" w:color="auto" w:fill="D5DCE4" w:themeFill="text2" w:themeFillTint="33"/>
            <w:vAlign w:val="center"/>
          </w:tcPr>
          <w:p w14:paraId="515B4574" w14:textId="69C0DC2E" w:rsidR="00554743" w:rsidRDefault="00554743" w:rsidP="00347C61">
            <w:pPr>
              <w:jc w:val="center"/>
              <w:rPr>
                <w:b/>
              </w:rPr>
            </w:pPr>
            <w:r>
              <w:rPr>
                <w:b/>
              </w:rPr>
              <w:t>Scope the need for this procurement</w:t>
            </w:r>
          </w:p>
        </w:tc>
        <w:tc>
          <w:tcPr>
            <w:tcW w:w="4348" w:type="dxa"/>
            <w:shd w:val="clear" w:color="auto" w:fill="D5DCE4" w:themeFill="text2" w:themeFillTint="33"/>
            <w:vAlign w:val="center"/>
          </w:tcPr>
          <w:p w14:paraId="35846316" w14:textId="77777777" w:rsidR="00554743" w:rsidRDefault="00554743" w:rsidP="00C16EDD">
            <w:pPr>
              <w:jc w:val="center"/>
              <w:rPr>
                <w:b/>
              </w:rPr>
            </w:pPr>
            <w:r>
              <w:rPr>
                <w:b/>
              </w:rPr>
              <w:t>Explore potential solutions</w:t>
            </w:r>
          </w:p>
        </w:tc>
        <w:tc>
          <w:tcPr>
            <w:tcW w:w="4349" w:type="dxa"/>
            <w:shd w:val="clear" w:color="auto" w:fill="D5DCE4" w:themeFill="text2" w:themeFillTint="33"/>
            <w:vAlign w:val="center"/>
          </w:tcPr>
          <w:p w14:paraId="32DA04B5" w14:textId="27DE0304" w:rsidR="00554743" w:rsidRDefault="00185C8E" w:rsidP="00C16EDD">
            <w:pPr>
              <w:jc w:val="center"/>
              <w:rPr>
                <w:b/>
              </w:rPr>
            </w:pPr>
            <w:r>
              <w:rPr>
                <w:b/>
              </w:rPr>
              <w:t>Prepare</w:t>
            </w:r>
            <w:r w:rsidR="00554743">
              <w:rPr>
                <w:b/>
              </w:rPr>
              <w:t xml:space="preserve"> the vendor community</w:t>
            </w:r>
          </w:p>
        </w:tc>
      </w:tr>
      <w:tr w:rsidR="00F11B16" w14:paraId="29E15437" w14:textId="77777777" w:rsidTr="004E5291">
        <w:trPr>
          <w:trHeight w:val="2418"/>
        </w:trPr>
        <w:tc>
          <w:tcPr>
            <w:tcW w:w="4348" w:type="dxa"/>
          </w:tcPr>
          <w:p w14:paraId="58A46F2A" w14:textId="427E66F3" w:rsidR="00AF472F" w:rsidRDefault="00AF472F" w:rsidP="00907F6B">
            <w:pPr>
              <w:pStyle w:val="ListParagraph"/>
              <w:numPr>
                <w:ilvl w:val="0"/>
                <w:numId w:val="1"/>
              </w:numPr>
              <w:rPr>
                <w:sz w:val="20"/>
                <w:szCs w:val="20"/>
              </w:rPr>
            </w:pPr>
            <w:r>
              <w:rPr>
                <w:sz w:val="20"/>
                <w:szCs w:val="20"/>
              </w:rPr>
              <w:t xml:space="preserve">(a) </w:t>
            </w:r>
            <w:r w:rsidR="00F11B16" w:rsidRPr="00483014">
              <w:rPr>
                <w:sz w:val="20"/>
                <w:szCs w:val="20"/>
              </w:rPr>
              <w:t>Consider</w:t>
            </w:r>
            <w:r w:rsidR="00F11B16">
              <w:rPr>
                <w:sz w:val="20"/>
                <w:szCs w:val="20"/>
              </w:rPr>
              <w:t xml:space="preserve"> your agency’s mission and</w:t>
            </w:r>
            <w:r w:rsidR="00F11B16" w:rsidRPr="00483014">
              <w:rPr>
                <w:sz w:val="20"/>
                <w:szCs w:val="20"/>
              </w:rPr>
              <w:t xml:space="preserve"> the larger prog</w:t>
            </w:r>
            <w:r w:rsidR="00F11B16">
              <w:rPr>
                <w:sz w:val="20"/>
                <w:szCs w:val="20"/>
              </w:rPr>
              <w:t>ram of which the product or service you’re procuring</w:t>
            </w:r>
            <w:r w:rsidR="00F11B16" w:rsidRPr="00483014">
              <w:rPr>
                <w:sz w:val="20"/>
                <w:szCs w:val="20"/>
              </w:rPr>
              <w:t xml:space="preserve"> will be</w:t>
            </w:r>
            <w:r w:rsidR="00F11B16">
              <w:rPr>
                <w:sz w:val="20"/>
                <w:szCs w:val="20"/>
              </w:rPr>
              <w:t xml:space="preserve"> a part</w:t>
            </w:r>
            <w:r w:rsidR="00F11B16" w:rsidRPr="00483014">
              <w:rPr>
                <w:sz w:val="20"/>
                <w:szCs w:val="20"/>
              </w:rPr>
              <w:t xml:space="preserve">. </w:t>
            </w:r>
            <w:r w:rsidR="00F11B16">
              <w:rPr>
                <w:sz w:val="20"/>
                <w:szCs w:val="20"/>
              </w:rPr>
              <w:t>Name at least</w:t>
            </w:r>
            <w:r w:rsidR="00F11B16" w:rsidRPr="00483014">
              <w:rPr>
                <w:sz w:val="20"/>
                <w:szCs w:val="20"/>
              </w:rPr>
              <w:t xml:space="preserve"> three long-term goals th</w:t>
            </w:r>
            <w:r w:rsidR="00F11B16">
              <w:rPr>
                <w:sz w:val="20"/>
                <w:szCs w:val="20"/>
              </w:rPr>
              <w:t>is program is trying to achieve.</w:t>
            </w:r>
          </w:p>
          <w:p w14:paraId="06404755" w14:textId="77777777" w:rsidR="00D20BC3" w:rsidRPr="00D20BC3" w:rsidRDefault="00D20BC3" w:rsidP="00D20BC3">
            <w:pPr>
              <w:pStyle w:val="ListParagraph"/>
              <w:rPr>
                <w:sz w:val="20"/>
                <w:szCs w:val="20"/>
              </w:rPr>
            </w:pPr>
          </w:p>
          <w:p w14:paraId="41B84052" w14:textId="02F1113D" w:rsidR="00F11B16" w:rsidRPr="00AF472F" w:rsidRDefault="00AF472F" w:rsidP="00AF472F">
            <w:pPr>
              <w:pStyle w:val="ListParagraph"/>
              <w:rPr>
                <w:sz w:val="20"/>
                <w:szCs w:val="20"/>
              </w:rPr>
            </w:pPr>
            <w:r>
              <w:rPr>
                <w:sz w:val="20"/>
                <w:szCs w:val="20"/>
              </w:rPr>
              <w:t xml:space="preserve">(b) </w:t>
            </w:r>
            <w:r w:rsidR="00F11B16" w:rsidRPr="00AF472F">
              <w:rPr>
                <w:sz w:val="20"/>
                <w:szCs w:val="20"/>
              </w:rPr>
              <w:t>How will the product or service you’re procuring contribute to achieving these goals?</w:t>
            </w:r>
          </w:p>
        </w:tc>
        <w:tc>
          <w:tcPr>
            <w:tcW w:w="4348" w:type="dxa"/>
          </w:tcPr>
          <w:p w14:paraId="71920E57" w14:textId="0AD068BD" w:rsidR="00F11B16" w:rsidRDefault="00D20BC3" w:rsidP="00907F6B">
            <w:pPr>
              <w:pStyle w:val="ListParagraph"/>
              <w:numPr>
                <w:ilvl w:val="0"/>
                <w:numId w:val="17"/>
              </w:numPr>
              <w:rPr>
                <w:sz w:val="20"/>
                <w:szCs w:val="20"/>
              </w:rPr>
            </w:pPr>
            <w:r>
              <w:rPr>
                <w:sz w:val="20"/>
                <w:szCs w:val="20"/>
              </w:rPr>
              <w:t xml:space="preserve">(a) </w:t>
            </w:r>
            <w:r w:rsidR="006D360F">
              <w:rPr>
                <w:sz w:val="20"/>
                <w:szCs w:val="20"/>
              </w:rPr>
              <w:t>What strategies are you using to search</w:t>
            </w:r>
            <w:r w:rsidR="00F11B16">
              <w:rPr>
                <w:sz w:val="20"/>
                <w:szCs w:val="20"/>
              </w:rPr>
              <w:t xml:space="preserve"> for potential solutions that could bring about the results you described in question 2?</w:t>
            </w:r>
          </w:p>
          <w:p w14:paraId="0B3D1CF7" w14:textId="77777777" w:rsidR="00F11B16" w:rsidRDefault="00F11B16" w:rsidP="000B6B4C">
            <w:pPr>
              <w:pStyle w:val="ListParagraph"/>
              <w:rPr>
                <w:sz w:val="20"/>
                <w:szCs w:val="20"/>
              </w:rPr>
            </w:pPr>
          </w:p>
          <w:p w14:paraId="5488528B" w14:textId="282C2CC2" w:rsidR="00F11B16" w:rsidRPr="00FD23F7" w:rsidRDefault="00D20BC3" w:rsidP="00D820F0">
            <w:pPr>
              <w:pStyle w:val="ListParagraph"/>
              <w:rPr>
                <w:sz w:val="20"/>
                <w:szCs w:val="20"/>
              </w:rPr>
            </w:pPr>
            <w:r>
              <w:rPr>
                <w:sz w:val="20"/>
                <w:szCs w:val="20"/>
              </w:rPr>
              <w:t xml:space="preserve">(b) </w:t>
            </w:r>
            <w:r w:rsidR="00F11B16">
              <w:rPr>
                <w:sz w:val="20"/>
                <w:szCs w:val="20"/>
              </w:rPr>
              <w:t xml:space="preserve">Based on </w:t>
            </w:r>
            <w:r w:rsidR="006D360F">
              <w:rPr>
                <w:sz w:val="20"/>
                <w:szCs w:val="20"/>
              </w:rPr>
              <w:t>your search</w:t>
            </w:r>
            <w:r w:rsidR="00F11B16">
              <w:rPr>
                <w:sz w:val="20"/>
                <w:szCs w:val="20"/>
              </w:rPr>
              <w:t xml:space="preserve">, </w:t>
            </w:r>
            <w:r w:rsidR="006D360F">
              <w:rPr>
                <w:sz w:val="20"/>
                <w:szCs w:val="20"/>
              </w:rPr>
              <w:t>what</w:t>
            </w:r>
            <w:r w:rsidR="00F11B16">
              <w:rPr>
                <w:sz w:val="20"/>
                <w:szCs w:val="20"/>
              </w:rPr>
              <w:t xml:space="preserve"> </w:t>
            </w:r>
            <w:r w:rsidR="006D360F">
              <w:rPr>
                <w:sz w:val="20"/>
                <w:szCs w:val="20"/>
              </w:rPr>
              <w:t xml:space="preserve">different </w:t>
            </w:r>
            <w:r w:rsidR="00F11B16">
              <w:rPr>
                <w:sz w:val="20"/>
                <w:szCs w:val="20"/>
              </w:rPr>
              <w:t>approaches</w:t>
            </w:r>
            <w:r w:rsidR="006D360F">
              <w:rPr>
                <w:sz w:val="20"/>
                <w:szCs w:val="20"/>
              </w:rPr>
              <w:t xml:space="preserve"> exist</w:t>
            </w:r>
            <w:r w:rsidR="00F11B16" w:rsidRPr="00FD23F7">
              <w:rPr>
                <w:sz w:val="20"/>
                <w:szCs w:val="20"/>
              </w:rPr>
              <w:t xml:space="preserve">? </w:t>
            </w:r>
            <w:r w:rsidR="00F11B16">
              <w:rPr>
                <w:sz w:val="20"/>
                <w:szCs w:val="20"/>
              </w:rPr>
              <w:t xml:space="preserve">Are </w:t>
            </w:r>
            <w:r w:rsidR="00D820F0">
              <w:rPr>
                <w:sz w:val="20"/>
                <w:szCs w:val="20"/>
              </w:rPr>
              <w:t>there any new or innovative methods worth considering</w:t>
            </w:r>
            <w:r w:rsidR="00F11B16" w:rsidRPr="00FD23F7">
              <w:rPr>
                <w:sz w:val="20"/>
                <w:szCs w:val="20"/>
              </w:rPr>
              <w:t>?</w:t>
            </w:r>
          </w:p>
        </w:tc>
        <w:tc>
          <w:tcPr>
            <w:tcW w:w="4349" w:type="dxa"/>
          </w:tcPr>
          <w:p w14:paraId="0CD386A6" w14:textId="3177B8DF" w:rsidR="00F11B16" w:rsidRPr="001A77EF" w:rsidRDefault="001A77EF" w:rsidP="00907F6B">
            <w:pPr>
              <w:pStyle w:val="ListParagraph"/>
              <w:numPr>
                <w:ilvl w:val="0"/>
                <w:numId w:val="18"/>
              </w:numPr>
              <w:rPr>
                <w:sz w:val="20"/>
                <w:szCs w:val="20"/>
              </w:rPr>
            </w:pPr>
            <w:r w:rsidRPr="001A77EF">
              <w:rPr>
                <w:sz w:val="20"/>
                <w:szCs w:val="20"/>
              </w:rPr>
              <w:t>How are you closing the information gap betw</w:t>
            </w:r>
            <w:r>
              <w:rPr>
                <w:sz w:val="20"/>
                <w:szCs w:val="20"/>
              </w:rPr>
              <w:t>een your department and vendors regarding</w:t>
            </w:r>
            <w:r w:rsidR="00F11B16" w:rsidRPr="001A77EF">
              <w:rPr>
                <w:sz w:val="20"/>
                <w:szCs w:val="20"/>
              </w:rPr>
              <w:t xml:space="preserve"> the goals you described in question 1, the desired results you listed in question 2, and the problems you identified in question 3?</w:t>
            </w:r>
          </w:p>
        </w:tc>
      </w:tr>
      <w:tr w:rsidR="005F7777" w14:paraId="61446435" w14:textId="77777777" w:rsidTr="004E5291">
        <w:trPr>
          <w:trHeight w:val="2418"/>
        </w:trPr>
        <w:tc>
          <w:tcPr>
            <w:tcW w:w="4348" w:type="dxa"/>
          </w:tcPr>
          <w:p w14:paraId="1F6EC5E4" w14:textId="0D9ED0CF" w:rsidR="005F7777" w:rsidRPr="00483014" w:rsidRDefault="005F7777" w:rsidP="00907F6B">
            <w:pPr>
              <w:pStyle w:val="ListParagraph"/>
              <w:numPr>
                <w:ilvl w:val="0"/>
                <w:numId w:val="15"/>
              </w:numPr>
              <w:rPr>
                <w:sz w:val="20"/>
                <w:szCs w:val="20"/>
              </w:rPr>
            </w:pPr>
            <w:r w:rsidRPr="00483014">
              <w:rPr>
                <w:sz w:val="20"/>
                <w:szCs w:val="20"/>
              </w:rPr>
              <w:t xml:space="preserve">Imagine </w:t>
            </w:r>
            <w:r>
              <w:rPr>
                <w:sz w:val="20"/>
                <w:szCs w:val="20"/>
              </w:rPr>
              <w:t>your department</w:t>
            </w:r>
            <w:r w:rsidRPr="00483014">
              <w:rPr>
                <w:sz w:val="20"/>
                <w:szCs w:val="20"/>
              </w:rPr>
              <w:t xml:space="preserve"> in the future, </w:t>
            </w:r>
            <w:r>
              <w:rPr>
                <w:sz w:val="20"/>
                <w:szCs w:val="20"/>
              </w:rPr>
              <w:t>reflecting upon</w:t>
            </w:r>
            <w:r w:rsidRPr="00483014">
              <w:rPr>
                <w:sz w:val="20"/>
                <w:szCs w:val="20"/>
              </w:rPr>
              <w:t xml:space="preserve"> a completely successful implementation of the product or service you’re procuring. </w:t>
            </w:r>
            <w:r>
              <w:rPr>
                <w:sz w:val="20"/>
                <w:szCs w:val="20"/>
              </w:rPr>
              <w:t>What are the most important results you’ll be celebrating?</w:t>
            </w:r>
          </w:p>
        </w:tc>
        <w:tc>
          <w:tcPr>
            <w:tcW w:w="4348" w:type="dxa"/>
          </w:tcPr>
          <w:p w14:paraId="0F5792B7" w14:textId="2E99E489" w:rsidR="005F7777" w:rsidRPr="00F11B16" w:rsidRDefault="005F7777" w:rsidP="00907F6B">
            <w:pPr>
              <w:pStyle w:val="ListParagraph"/>
              <w:numPr>
                <w:ilvl w:val="0"/>
                <w:numId w:val="26"/>
              </w:numPr>
              <w:rPr>
                <w:sz w:val="20"/>
                <w:szCs w:val="20"/>
              </w:rPr>
            </w:pPr>
            <w:r>
              <w:rPr>
                <w:sz w:val="20"/>
                <w:szCs w:val="20"/>
              </w:rPr>
              <w:t xml:space="preserve">(a) </w:t>
            </w:r>
            <w:r w:rsidRPr="00F11B16">
              <w:rPr>
                <w:sz w:val="20"/>
                <w:szCs w:val="20"/>
              </w:rPr>
              <w:t xml:space="preserve">How are you determining which </w:t>
            </w:r>
            <w:r w:rsidR="006D360F">
              <w:rPr>
                <w:sz w:val="20"/>
                <w:szCs w:val="20"/>
              </w:rPr>
              <w:t xml:space="preserve">of the </w:t>
            </w:r>
            <w:r w:rsidRPr="00F11B16">
              <w:rPr>
                <w:sz w:val="20"/>
                <w:szCs w:val="20"/>
              </w:rPr>
              <w:t xml:space="preserve">solutions </w:t>
            </w:r>
            <w:r w:rsidR="006D360F">
              <w:rPr>
                <w:sz w:val="20"/>
                <w:szCs w:val="20"/>
              </w:rPr>
              <w:t xml:space="preserve">you identified in question 4 </w:t>
            </w:r>
            <w:r w:rsidRPr="00F11B16">
              <w:rPr>
                <w:sz w:val="20"/>
                <w:szCs w:val="20"/>
              </w:rPr>
              <w:t xml:space="preserve">are most appropriate for your context and </w:t>
            </w:r>
            <w:r w:rsidR="006D360F">
              <w:rPr>
                <w:sz w:val="20"/>
                <w:szCs w:val="20"/>
              </w:rPr>
              <w:t xml:space="preserve">most </w:t>
            </w:r>
            <w:r w:rsidRPr="00F11B16">
              <w:rPr>
                <w:sz w:val="20"/>
                <w:szCs w:val="20"/>
              </w:rPr>
              <w:t>likely to bring about the desired results? (I.e., research, evidence, stakeholder interviews</w:t>
            </w:r>
            <w:r w:rsidR="006D360F">
              <w:rPr>
                <w:sz w:val="20"/>
                <w:szCs w:val="20"/>
              </w:rPr>
              <w:t>.</w:t>
            </w:r>
            <w:r w:rsidRPr="00F11B16">
              <w:rPr>
                <w:sz w:val="20"/>
                <w:szCs w:val="20"/>
              </w:rPr>
              <w:t>)</w:t>
            </w:r>
          </w:p>
          <w:p w14:paraId="104A22FC" w14:textId="5871B7C1" w:rsidR="005F7777" w:rsidRPr="00D20BC3" w:rsidRDefault="005F7777" w:rsidP="00D20BC3">
            <w:pPr>
              <w:rPr>
                <w:sz w:val="20"/>
                <w:szCs w:val="20"/>
              </w:rPr>
            </w:pPr>
          </w:p>
          <w:p w14:paraId="77AA6E8D" w14:textId="57CE3160" w:rsidR="005F7777" w:rsidRPr="00FD23F7" w:rsidRDefault="005F7777" w:rsidP="00035E31">
            <w:pPr>
              <w:pStyle w:val="ListParagraph"/>
              <w:rPr>
                <w:sz w:val="20"/>
                <w:szCs w:val="20"/>
              </w:rPr>
            </w:pPr>
            <w:r>
              <w:rPr>
                <w:sz w:val="20"/>
                <w:szCs w:val="20"/>
              </w:rPr>
              <w:t>(b) Based on this work, what appear to be the most promising strategies?</w:t>
            </w:r>
          </w:p>
        </w:tc>
        <w:tc>
          <w:tcPr>
            <w:tcW w:w="4349" w:type="dxa"/>
            <w:vMerge w:val="restart"/>
          </w:tcPr>
          <w:p w14:paraId="6060164D" w14:textId="5E8A84A2" w:rsidR="005F7777" w:rsidRPr="00D34DAA" w:rsidRDefault="006D360F" w:rsidP="00907F6B">
            <w:pPr>
              <w:pStyle w:val="ListParagraph"/>
              <w:numPr>
                <w:ilvl w:val="0"/>
                <w:numId w:val="27"/>
              </w:numPr>
              <w:rPr>
                <w:sz w:val="20"/>
                <w:szCs w:val="20"/>
              </w:rPr>
            </w:pPr>
            <w:r>
              <w:rPr>
                <w:sz w:val="20"/>
                <w:szCs w:val="20"/>
              </w:rPr>
              <w:t>What tactics</w:t>
            </w:r>
            <w:r w:rsidR="005F7777">
              <w:rPr>
                <w:sz w:val="20"/>
                <w:szCs w:val="20"/>
              </w:rPr>
              <w:t xml:space="preserve"> are you</w:t>
            </w:r>
            <w:r w:rsidR="005F7777" w:rsidRPr="00483014">
              <w:rPr>
                <w:sz w:val="20"/>
                <w:szCs w:val="20"/>
              </w:rPr>
              <w:t xml:space="preserve"> </w:t>
            </w:r>
            <w:r>
              <w:rPr>
                <w:sz w:val="20"/>
                <w:szCs w:val="20"/>
              </w:rPr>
              <w:t>using to expand</w:t>
            </w:r>
            <w:r w:rsidR="005F7777" w:rsidRPr="00483014">
              <w:rPr>
                <w:sz w:val="20"/>
                <w:szCs w:val="20"/>
              </w:rPr>
              <w:t xml:space="preserve"> the number of vendors who are likely to respond</w:t>
            </w:r>
            <w:r w:rsidR="005F7777">
              <w:rPr>
                <w:sz w:val="20"/>
                <w:szCs w:val="20"/>
              </w:rPr>
              <w:t xml:space="preserve"> to your solicitation</w:t>
            </w:r>
            <w:r w:rsidR="001A77EF">
              <w:rPr>
                <w:sz w:val="20"/>
                <w:szCs w:val="20"/>
              </w:rPr>
              <w:t>, and also to get new ideas from existing vendors?</w:t>
            </w:r>
          </w:p>
        </w:tc>
      </w:tr>
      <w:tr w:rsidR="005F7777" w14:paraId="029DC552" w14:textId="77777777" w:rsidTr="00687DAA">
        <w:trPr>
          <w:trHeight w:val="1880"/>
        </w:trPr>
        <w:tc>
          <w:tcPr>
            <w:tcW w:w="4348" w:type="dxa"/>
          </w:tcPr>
          <w:p w14:paraId="17C53619" w14:textId="5839A34F" w:rsidR="005F7777" w:rsidRPr="00FE2ACD" w:rsidRDefault="005F7777" w:rsidP="00907F6B">
            <w:pPr>
              <w:pStyle w:val="ListParagraph"/>
              <w:numPr>
                <w:ilvl w:val="0"/>
                <w:numId w:val="16"/>
              </w:numPr>
              <w:rPr>
                <w:sz w:val="20"/>
                <w:szCs w:val="20"/>
              </w:rPr>
            </w:pPr>
            <w:r>
              <w:rPr>
                <w:sz w:val="20"/>
                <w:szCs w:val="20"/>
              </w:rPr>
              <w:t>Consider</w:t>
            </w:r>
            <w:r w:rsidRPr="00547BB1">
              <w:rPr>
                <w:sz w:val="20"/>
                <w:szCs w:val="20"/>
              </w:rPr>
              <w:t xml:space="preserve"> the product or se</w:t>
            </w:r>
            <w:r>
              <w:rPr>
                <w:sz w:val="20"/>
                <w:szCs w:val="20"/>
              </w:rPr>
              <w:t>rvice that’s currently in place, or the way in which your department</w:t>
            </w:r>
            <w:r w:rsidR="00D820F0">
              <w:rPr>
                <w:sz w:val="20"/>
                <w:szCs w:val="20"/>
              </w:rPr>
              <w:t xml:space="preserve"> imperfectly addresses these goals </w:t>
            </w:r>
            <w:r>
              <w:rPr>
                <w:sz w:val="20"/>
                <w:szCs w:val="20"/>
              </w:rPr>
              <w:t>today.</w:t>
            </w:r>
            <w:r w:rsidRPr="00547BB1">
              <w:rPr>
                <w:sz w:val="20"/>
                <w:szCs w:val="20"/>
              </w:rPr>
              <w:t xml:space="preserve"> </w:t>
            </w:r>
            <w:r>
              <w:rPr>
                <w:sz w:val="20"/>
                <w:szCs w:val="20"/>
              </w:rPr>
              <w:t xml:space="preserve">Name at least three things that </w:t>
            </w:r>
            <w:r w:rsidRPr="00FE2ACD">
              <w:rPr>
                <w:sz w:val="20"/>
                <w:szCs w:val="20"/>
              </w:rPr>
              <w:t>are</w:t>
            </w:r>
            <w:r>
              <w:rPr>
                <w:sz w:val="20"/>
                <w:szCs w:val="20"/>
              </w:rPr>
              <w:t xml:space="preserve"> going well with this approach that you’d like to continue, and name at least three</w:t>
            </w:r>
            <w:r w:rsidRPr="00547BB1">
              <w:rPr>
                <w:sz w:val="20"/>
                <w:szCs w:val="20"/>
              </w:rPr>
              <w:t xml:space="preserve"> things that </w:t>
            </w:r>
            <w:r w:rsidRPr="0007464B">
              <w:rPr>
                <w:i/>
                <w:sz w:val="20"/>
                <w:szCs w:val="20"/>
              </w:rPr>
              <w:t>are not</w:t>
            </w:r>
            <w:r w:rsidRPr="00547BB1">
              <w:rPr>
                <w:sz w:val="20"/>
                <w:szCs w:val="20"/>
              </w:rPr>
              <w:t xml:space="preserve"> going </w:t>
            </w:r>
            <w:r>
              <w:rPr>
                <w:sz w:val="20"/>
                <w:szCs w:val="20"/>
              </w:rPr>
              <w:t>well and need to change.</w:t>
            </w:r>
          </w:p>
        </w:tc>
        <w:tc>
          <w:tcPr>
            <w:tcW w:w="4348" w:type="dxa"/>
          </w:tcPr>
          <w:p w14:paraId="03B925B1" w14:textId="229CF7E6" w:rsidR="00D820F0" w:rsidRPr="000B6B4C" w:rsidRDefault="00D820F0" w:rsidP="00907F6B">
            <w:pPr>
              <w:pStyle w:val="ListParagraph"/>
              <w:numPr>
                <w:ilvl w:val="0"/>
                <w:numId w:val="25"/>
              </w:numPr>
              <w:rPr>
                <w:sz w:val="20"/>
                <w:szCs w:val="20"/>
              </w:rPr>
            </w:pPr>
            <w:r>
              <w:rPr>
                <w:sz w:val="20"/>
                <w:szCs w:val="20"/>
              </w:rPr>
              <w:t xml:space="preserve">How are you testing the </w:t>
            </w:r>
            <w:r w:rsidR="00C11CB8">
              <w:rPr>
                <w:sz w:val="20"/>
                <w:szCs w:val="20"/>
              </w:rPr>
              <w:t>approaches that you identified in question 5 (b), and checking your assumptions, to validate which strategies will work?</w:t>
            </w:r>
          </w:p>
        </w:tc>
        <w:tc>
          <w:tcPr>
            <w:tcW w:w="4349" w:type="dxa"/>
            <w:vMerge/>
          </w:tcPr>
          <w:p w14:paraId="70E7AB26" w14:textId="221CE183" w:rsidR="005F7777" w:rsidRPr="008965D7" w:rsidRDefault="005F7777" w:rsidP="008965D7">
            <w:pPr>
              <w:rPr>
                <w:sz w:val="20"/>
                <w:szCs w:val="20"/>
              </w:rPr>
            </w:pPr>
          </w:p>
        </w:tc>
      </w:tr>
    </w:tbl>
    <w:p w14:paraId="670A5E14" w14:textId="0E18EFDB" w:rsidR="004E5291" w:rsidRDefault="004E5291" w:rsidP="00554743">
      <w:pPr>
        <w:rPr>
          <w:b/>
        </w:rPr>
      </w:pPr>
    </w:p>
    <w:p w14:paraId="3DA9FDF4" w14:textId="799D872A" w:rsidR="000542D1" w:rsidRPr="000542D1" w:rsidRDefault="000542D1" w:rsidP="00554743">
      <w:pPr>
        <w:rPr>
          <w:b/>
          <w:i/>
        </w:rPr>
      </w:pPr>
      <w:r>
        <w:rPr>
          <w:b/>
          <w:i/>
        </w:rPr>
        <w:t xml:space="preserve">Example Responses </w:t>
      </w:r>
      <w:r w:rsidR="005F7777">
        <w:rPr>
          <w:i/>
        </w:rPr>
        <w:t>(for illustrative purposes o</w:t>
      </w:r>
      <w:r w:rsidRPr="00347C61">
        <w:rPr>
          <w:i/>
        </w:rPr>
        <w:t>nly)</w:t>
      </w:r>
    </w:p>
    <w:tbl>
      <w:tblPr>
        <w:tblStyle w:val="TableGrid"/>
        <w:tblW w:w="13141" w:type="dxa"/>
        <w:tblCellMar>
          <w:left w:w="115" w:type="dxa"/>
          <w:bottom w:w="58" w:type="dxa"/>
          <w:right w:w="115" w:type="dxa"/>
        </w:tblCellMar>
        <w:tblLook w:val="04A0" w:firstRow="1" w:lastRow="0" w:firstColumn="1" w:lastColumn="0" w:noHBand="0" w:noVBand="1"/>
      </w:tblPr>
      <w:tblGrid>
        <w:gridCol w:w="457"/>
        <w:gridCol w:w="3767"/>
        <w:gridCol w:w="457"/>
        <w:gridCol w:w="4765"/>
        <w:gridCol w:w="382"/>
        <w:gridCol w:w="3307"/>
        <w:gridCol w:w="6"/>
      </w:tblGrid>
      <w:tr w:rsidR="00A94817" w14:paraId="570A0EDD" w14:textId="77777777" w:rsidTr="004E5291">
        <w:trPr>
          <w:trHeight w:val="170"/>
        </w:trPr>
        <w:tc>
          <w:tcPr>
            <w:tcW w:w="4224" w:type="dxa"/>
            <w:gridSpan w:val="2"/>
            <w:tcBorders>
              <w:bottom w:val="single" w:sz="4" w:space="0" w:color="auto"/>
            </w:tcBorders>
            <w:shd w:val="clear" w:color="auto" w:fill="D5DCE4" w:themeFill="text2" w:themeFillTint="33"/>
          </w:tcPr>
          <w:p w14:paraId="47EE725F" w14:textId="19613474" w:rsidR="00A94817" w:rsidRPr="002A3F5F" w:rsidRDefault="00A94817" w:rsidP="002A3F5F">
            <w:pPr>
              <w:jc w:val="center"/>
              <w:rPr>
                <w:b/>
                <w:sz w:val="20"/>
                <w:szCs w:val="20"/>
              </w:rPr>
            </w:pPr>
            <w:r w:rsidRPr="002A3F5F">
              <w:rPr>
                <w:b/>
                <w:sz w:val="20"/>
                <w:szCs w:val="20"/>
              </w:rPr>
              <w:t xml:space="preserve">Scope the need for this procurement </w:t>
            </w:r>
          </w:p>
        </w:tc>
        <w:tc>
          <w:tcPr>
            <w:tcW w:w="5222" w:type="dxa"/>
            <w:gridSpan w:val="2"/>
            <w:tcBorders>
              <w:bottom w:val="single" w:sz="4" w:space="0" w:color="auto"/>
            </w:tcBorders>
            <w:shd w:val="clear" w:color="auto" w:fill="D5DCE4" w:themeFill="text2" w:themeFillTint="33"/>
          </w:tcPr>
          <w:p w14:paraId="21A67B55" w14:textId="26E8F323" w:rsidR="00A94817" w:rsidRPr="002A3F5F" w:rsidRDefault="00A94817" w:rsidP="002A3F5F">
            <w:pPr>
              <w:jc w:val="center"/>
              <w:rPr>
                <w:b/>
                <w:sz w:val="20"/>
                <w:szCs w:val="20"/>
              </w:rPr>
            </w:pPr>
            <w:r w:rsidRPr="002A3F5F">
              <w:rPr>
                <w:b/>
                <w:sz w:val="20"/>
                <w:szCs w:val="20"/>
              </w:rPr>
              <w:t>Explore potential solutions</w:t>
            </w:r>
          </w:p>
        </w:tc>
        <w:tc>
          <w:tcPr>
            <w:tcW w:w="3695" w:type="dxa"/>
            <w:gridSpan w:val="3"/>
            <w:tcBorders>
              <w:bottom w:val="single" w:sz="4" w:space="0" w:color="auto"/>
            </w:tcBorders>
            <w:shd w:val="clear" w:color="auto" w:fill="D5DCE4" w:themeFill="text2" w:themeFillTint="33"/>
          </w:tcPr>
          <w:p w14:paraId="0AD63709" w14:textId="5471D5E8" w:rsidR="00A94817" w:rsidRPr="002A3F5F" w:rsidRDefault="00A94817" w:rsidP="002A3F5F">
            <w:pPr>
              <w:jc w:val="center"/>
              <w:rPr>
                <w:b/>
                <w:sz w:val="20"/>
                <w:szCs w:val="20"/>
              </w:rPr>
            </w:pPr>
            <w:r w:rsidRPr="002A3F5F">
              <w:rPr>
                <w:b/>
                <w:sz w:val="20"/>
                <w:szCs w:val="20"/>
              </w:rPr>
              <w:t>Prepare the vendor community</w:t>
            </w:r>
          </w:p>
        </w:tc>
      </w:tr>
      <w:tr w:rsidR="00193014" w14:paraId="68867383" w14:textId="77777777" w:rsidTr="004E5291">
        <w:trPr>
          <w:gridAfter w:val="1"/>
          <w:wAfter w:w="6" w:type="dxa"/>
          <w:trHeight w:val="2735"/>
        </w:trPr>
        <w:tc>
          <w:tcPr>
            <w:tcW w:w="457" w:type="dxa"/>
            <w:vMerge w:val="restart"/>
            <w:tcBorders>
              <w:top w:val="single" w:sz="4" w:space="0" w:color="auto"/>
              <w:left w:val="single" w:sz="4" w:space="0" w:color="auto"/>
              <w:right w:val="nil"/>
            </w:tcBorders>
          </w:tcPr>
          <w:p w14:paraId="5754C61B" w14:textId="77777777" w:rsidR="00193014" w:rsidRDefault="00193014" w:rsidP="00A94817">
            <w:pPr>
              <w:ind w:right="-120"/>
              <w:rPr>
                <w:sz w:val="20"/>
                <w:szCs w:val="20"/>
              </w:rPr>
            </w:pPr>
            <w:r>
              <w:rPr>
                <w:sz w:val="20"/>
                <w:szCs w:val="20"/>
              </w:rPr>
              <w:t>1.</w:t>
            </w:r>
          </w:p>
          <w:p w14:paraId="2F3D9999" w14:textId="64B2FA43" w:rsidR="00193014" w:rsidRDefault="00193014" w:rsidP="00A94817">
            <w:pPr>
              <w:ind w:right="-120"/>
              <w:rPr>
                <w:sz w:val="20"/>
                <w:szCs w:val="20"/>
              </w:rPr>
            </w:pPr>
            <w:r>
              <w:rPr>
                <w:sz w:val="20"/>
                <w:szCs w:val="20"/>
              </w:rPr>
              <w:t>(a)</w:t>
            </w:r>
          </w:p>
          <w:p w14:paraId="1D3F0E87" w14:textId="77777777" w:rsidR="00193014" w:rsidRDefault="00193014" w:rsidP="00A94817">
            <w:pPr>
              <w:ind w:right="-120"/>
              <w:rPr>
                <w:sz w:val="20"/>
                <w:szCs w:val="20"/>
              </w:rPr>
            </w:pPr>
          </w:p>
          <w:p w14:paraId="47178951" w14:textId="77777777" w:rsidR="00193014" w:rsidRDefault="00193014" w:rsidP="00A94817">
            <w:pPr>
              <w:ind w:right="-120"/>
              <w:rPr>
                <w:sz w:val="20"/>
                <w:szCs w:val="20"/>
              </w:rPr>
            </w:pPr>
          </w:p>
          <w:p w14:paraId="247FC2B4" w14:textId="77777777" w:rsidR="00193014" w:rsidRDefault="00193014" w:rsidP="00A94817">
            <w:pPr>
              <w:ind w:right="-120"/>
              <w:rPr>
                <w:sz w:val="20"/>
                <w:szCs w:val="20"/>
              </w:rPr>
            </w:pPr>
          </w:p>
          <w:p w14:paraId="28C71F86" w14:textId="77777777" w:rsidR="00193014" w:rsidRDefault="00193014" w:rsidP="00A94817">
            <w:pPr>
              <w:ind w:right="-120"/>
              <w:rPr>
                <w:sz w:val="20"/>
                <w:szCs w:val="20"/>
              </w:rPr>
            </w:pPr>
          </w:p>
          <w:p w14:paraId="63EDA2E0" w14:textId="77777777" w:rsidR="00193014" w:rsidRDefault="00193014" w:rsidP="00A94817">
            <w:pPr>
              <w:ind w:right="-120"/>
              <w:rPr>
                <w:sz w:val="20"/>
                <w:szCs w:val="20"/>
              </w:rPr>
            </w:pPr>
          </w:p>
          <w:p w14:paraId="7563A663" w14:textId="77777777" w:rsidR="00193014" w:rsidRDefault="00193014" w:rsidP="00A94817">
            <w:pPr>
              <w:ind w:right="-120"/>
              <w:rPr>
                <w:sz w:val="20"/>
                <w:szCs w:val="20"/>
              </w:rPr>
            </w:pPr>
          </w:p>
          <w:p w14:paraId="5AD08476" w14:textId="25EC9F7C" w:rsidR="00193014" w:rsidRDefault="00193014" w:rsidP="00A94817">
            <w:pPr>
              <w:ind w:right="-120"/>
              <w:rPr>
                <w:sz w:val="20"/>
                <w:szCs w:val="20"/>
              </w:rPr>
            </w:pPr>
          </w:p>
          <w:p w14:paraId="30D58CF1" w14:textId="06C5D81C" w:rsidR="00193014" w:rsidRPr="0015391D" w:rsidRDefault="00193014" w:rsidP="00A94817">
            <w:pPr>
              <w:ind w:right="-120"/>
              <w:rPr>
                <w:sz w:val="20"/>
                <w:szCs w:val="20"/>
              </w:rPr>
            </w:pPr>
            <w:r>
              <w:rPr>
                <w:sz w:val="20"/>
                <w:szCs w:val="20"/>
              </w:rPr>
              <w:t>(b)</w:t>
            </w:r>
          </w:p>
        </w:tc>
        <w:tc>
          <w:tcPr>
            <w:tcW w:w="3767" w:type="dxa"/>
            <w:vMerge w:val="restart"/>
            <w:tcBorders>
              <w:top w:val="single" w:sz="4" w:space="0" w:color="auto"/>
              <w:left w:val="nil"/>
              <w:right w:val="single" w:sz="4" w:space="0" w:color="auto"/>
            </w:tcBorders>
          </w:tcPr>
          <w:p w14:paraId="0BF5527E" w14:textId="717AADCD" w:rsidR="00193014" w:rsidRPr="009B0B97" w:rsidRDefault="00193014" w:rsidP="009B0B97">
            <w:pPr>
              <w:rPr>
                <w:sz w:val="20"/>
                <w:szCs w:val="20"/>
              </w:rPr>
            </w:pPr>
            <w:r>
              <w:rPr>
                <w:i/>
                <w:sz w:val="20"/>
                <w:szCs w:val="20"/>
              </w:rPr>
              <w:t>The Department</w:t>
            </w:r>
            <w:r w:rsidRPr="00255592">
              <w:rPr>
                <w:i/>
                <w:sz w:val="20"/>
                <w:szCs w:val="20"/>
              </w:rPr>
              <w:t xml:space="preserve"> of Aging’s mission is to preserve the independence, dignity, and capacity for choice of seniors</w:t>
            </w:r>
            <w:r>
              <w:rPr>
                <w:i/>
                <w:sz w:val="20"/>
                <w:szCs w:val="20"/>
              </w:rPr>
              <w:t xml:space="preserve"> in our state</w:t>
            </w:r>
            <w:r w:rsidRPr="00255592">
              <w:rPr>
                <w:i/>
                <w:sz w:val="20"/>
                <w:szCs w:val="20"/>
              </w:rPr>
              <w:t>.</w:t>
            </w:r>
          </w:p>
          <w:p w14:paraId="675D5C76" w14:textId="3F3249B0" w:rsidR="00193014" w:rsidRPr="00255592" w:rsidRDefault="00193014" w:rsidP="009B0B97">
            <w:pPr>
              <w:spacing w:before="120"/>
              <w:rPr>
                <w:i/>
                <w:sz w:val="20"/>
                <w:szCs w:val="20"/>
              </w:rPr>
            </w:pPr>
            <w:r w:rsidRPr="00255592">
              <w:rPr>
                <w:i/>
                <w:sz w:val="20"/>
                <w:szCs w:val="20"/>
              </w:rPr>
              <w:t>Program Goals</w:t>
            </w:r>
            <w:r>
              <w:rPr>
                <w:i/>
                <w:sz w:val="20"/>
                <w:szCs w:val="20"/>
              </w:rPr>
              <w:t>:</w:t>
            </w:r>
          </w:p>
          <w:p w14:paraId="6696B115" w14:textId="4D01CF53" w:rsidR="00193014" w:rsidRPr="00255592" w:rsidRDefault="00193014" w:rsidP="002A3F5F">
            <w:pPr>
              <w:pStyle w:val="ListParagraph"/>
              <w:numPr>
                <w:ilvl w:val="0"/>
                <w:numId w:val="28"/>
              </w:numPr>
              <w:ind w:left="150" w:hanging="180"/>
              <w:rPr>
                <w:i/>
                <w:sz w:val="20"/>
                <w:szCs w:val="20"/>
              </w:rPr>
            </w:pPr>
            <w:r w:rsidRPr="00255592">
              <w:rPr>
                <w:i/>
                <w:sz w:val="20"/>
                <w:szCs w:val="20"/>
              </w:rPr>
              <w:t xml:space="preserve">Reduce costly </w:t>
            </w:r>
            <w:r>
              <w:rPr>
                <w:i/>
                <w:sz w:val="20"/>
                <w:szCs w:val="20"/>
              </w:rPr>
              <w:t>ER</w:t>
            </w:r>
            <w:r w:rsidRPr="00255592">
              <w:rPr>
                <w:i/>
                <w:sz w:val="20"/>
                <w:szCs w:val="20"/>
              </w:rPr>
              <w:t xml:space="preserve"> interventions for seniors</w:t>
            </w:r>
          </w:p>
          <w:p w14:paraId="62BB72F7" w14:textId="560EE755" w:rsidR="00193014" w:rsidRDefault="00193014" w:rsidP="002A3F5F">
            <w:pPr>
              <w:pStyle w:val="ListParagraph"/>
              <w:numPr>
                <w:ilvl w:val="0"/>
                <w:numId w:val="28"/>
              </w:numPr>
              <w:ind w:left="150" w:hanging="180"/>
              <w:rPr>
                <w:i/>
                <w:sz w:val="20"/>
                <w:szCs w:val="20"/>
              </w:rPr>
            </w:pPr>
            <w:r>
              <w:rPr>
                <w:i/>
                <w:sz w:val="20"/>
                <w:szCs w:val="20"/>
              </w:rPr>
              <w:t>R</w:t>
            </w:r>
            <w:r w:rsidRPr="00255592">
              <w:rPr>
                <w:i/>
                <w:sz w:val="20"/>
                <w:szCs w:val="20"/>
              </w:rPr>
              <w:t>educe moves into long-term residential nursing facilities</w:t>
            </w:r>
          </w:p>
          <w:p w14:paraId="0C36FDC8" w14:textId="1EA3A3EF" w:rsidR="00193014" w:rsidRDefault="00193014" w:rsidP="002A3F5F">
            <w:pPr>
              <w:pStyle w:val="ListParagraph"/>
              <w:numPr>
                <w:ilvl w:val="0"/>
                <w:numId w:val="28"/>
              </w:numPr>
              <w:ind w:left="150" w:hanging="180"/>
              <w:rPr>
                <w:i/>
                <w:sz w:val="20"/>
                <w:szCs w:val="20"/>
              </w:rPr>
            </w:pPr>
            <w:r w:rsidRPr="00255592">
              <w:rPr>
                <w:i/>
                <w:sz w:val="20"/>
                <w:szCs w:val="20"/>
              </w:rPr>
              <w:t xml:space="preserve">Improve the quality of life for </w:t>
            </w:r>
            <w:r>
              <w:rPr>
                <w:i/>
                <w:sz w:val="20"/>
                <w:szCs w:val="20"/>
              </w:rPr>
              <w:t>our elderly</w:t>
            </w:r>
          </w:p>
          <w:p w14:paraId="3F10BA67" w14:textId="77777777" w:rsidR="00193014" w:rsidRPr="002A3F5F" w:rsidRDefault="00193014" w:rsidP="002A3F5F">
            <w:pPr>
              <w:pStyle w:val="ListParagraph"/>
              <w:ind w:left="270"/>
              <w:rPr>
                <w:i/>
                <w:sz w:val="20"/>
                <w:szCs w:val="20"/>
              </w:rPr>
            </w:pPr>
          </w:p>
          <w:p w14:paraId="6F2B5D97" w14:textId="18711DD0" w:rsidR="00193014" w:rsidRPr="00AF472F" w:rsidRDefault="00193014" w:rsidP="00A94817">
            <w:pPr>
              <w:rPr>
                <w:i/>
                <w:sz w:val="20"/>
                <w:szCs w:val="20"/>
              </w:rPr>
            </w:pPr>
            <w:r w:rsidRPr="00AF472F">
              <w:rPr>
                <w:i/>
                <w:sz w:val="20"/>
                <w:szCs w:val="20"/>
              </w:rPr>
              <w:t>Providing short-term home-based support services for elderly individuals experiencing a crisis will help avoid emergency room visits and decrease transitions into nursing homes</w:t>
            </w:r>
            <w:r>
              <w:rPr>
                <w:i/>
                <w:sz w:val="20"/>
                <w:szCs w:val="20"/>
              </w:rPr>
              <w:t>,</w:t>
            </w:r>
            <w:r w:rsidRPr="00AF472F">
              <w:rPr>
                <w:i/>
                <w:sz w:val="20"/>
                <w:szCs w:val="20"/>
              </w:rPr>
              <w:t xml:space="preserve"> thus improving quality of life.</w:t>
            </w:r>
          </w:p>
        </w:tc>
        <w:tc>
          <w:tcPr>
            <w:tcW w:w="457" w:type="dxa"/>
            <w:tcBorders>
              <w:top w:val="single" w:sz="4" w:space="0" w:color="auto"/>
              <w:left w:val="single" w:sz="4" w:space="0" w:color="auto"/>
              <w:right w:val="nil"/>
            </w:tcBorders>
          </w:tcPr>
          <w:p w14:paraId="6681B8A2" w14:textId="77777777" w:rsidR="00193014" w:rsidRDefault="00193014" w:rsidP="003E3987">
            <w:pPr>
              <w:ind w:right="-120"/>
              <w:rPr>
                <w:sz w:val="20"/>
                <w:szCs w:val="20"/>
              </w:rPr>
            </w:pPr>
            <w:r>
              <w:rPr>
                <w:sz w:val="20"/>
                <w:szCs w:val="20"/>
              </w:rPr>
              <w:t>4.</w:t>
            </w:r>
          </w:p>
          <w:p w14:paraId="0E4478A5" w14:textId="6CDC2086" w:rsidR="00193014" w:rsidRDefault="00193014" w:rsidP="003E3987">
            <w:pPr>
              <w:ind w:right="-120"/>
              <w:rPr>
                <w:sz w:val="20"/>
                <w:szCs w:val="20"/>
              </w:rPr>
            </w:pPr>
            <w:r>
              <w:rPr>
                <w:sz w:val="20"/>
                <w:szCs w:val="20"/>
              </w:rPr>
              <w:t>(a)</w:t>
            </w:r>
          </w:p>
          <w:p w14:paraId="1A07F50C" w14:textId="77777777" w:rsidR="00193014" w:rsidRDefault="00193014" w:rsidP="003E3987">
            <w:pPr>
              <w:ind w:right="-120"/>
              <w:rPr>
                <w:sz w:val="20"/>
                <w:szCs w:val="20"/>
              </w:rPr>
            </w:pPr>
          </w:p>
          <w:p w14:paraId="36A589CF" w14:textId="77777777" w:rsidR="00193014" w:rsidRDefault="00193014" w:rsidP="003E3987">
            <w:pPr>
              <w:ind w:right="-120"/>
              <w:rPr>
                <w:sz w:val="20"/>
                <w:szCs w:val="20"/>
              </w:rPr>
            </w:pPr>
          </w:p>
          <w:p w14:paraId="5F2938FB" w14:textId="49D1DD97" w:rsidR="00193014" w:rsidRDefault="00193014" w:rsidP="003E3987">
            <w:pPr>
              <w:ind w:right="-120"/>
              <w:rPr>
                <w:sz w:val="20"/>
                <w:szCs w:val="20"/>
              </w:rPr>
            </w:pPr>
          </w:p>
          <w:p w14:paraId="426FF2C2" w14:textId="7A1E78D8" w:rsidR="00193014" w:rsidRDefault="00193014" w:rsidP="009D3177">
            <w:pPr>
              <w:ind w:right="-120"/>
              <w:rPr>
                <w:sz w:val="20"/>
                <w:szCs w:val="20"/>
              </w:rPr>
            </w:pPr>
            <w:r>
              <w:rPr>
                <w:sz w:val="20"/>
                <w:szCs w:val="20"/>
              </w:rPr>
              <w:t xml:space="preserve">   (b)</w:t>
            </w:r>
          </w:p>
        </w:tc>
        <w:tc>
          <w:tcPr>
            <w:tcW w:w="4765" w:type="dxa"/>
            <w:tcBorders>
              <w:top w:val="single" w:sz="4" w:space="0" w:color="auto"/>
              <w:left w:val="nil"/>
              <w:bottom w:val="single" w:sz="4" w:space="0" w:color="auto"/>
              <w:right w:val="single" w:sz="4" w:space="0" w:color="auto"/>
            </w:tcBorders>
          </w:tcPr>
          <w:p w14:paraId="04A62F69" w14:textId="2C87111A" w:rsidR="00193014" w:rsidRPr="00D20BC3" w:rsidRDefault="00193014" w:rsidP="00907F6B">
            <w:pPr>
              <w:pStyle w:val="ListParagraph"/>
              <w:numPr>
                <w:ilvl w:val="0"/>
                <w:numId w:val="29"/>
              </w:numPr>
              <w:ind w:left="61" w:hanging="180"/>
              <w:rPr>
                <w:sz w:val="20"/>
                <w:szCs w:val="20"/>
              </w:rPr>
            </w:pPr>
            <w:r>
              <w:rPr>
                <w:i/>
                <w:sz w:val="20"/>
                <w:szCs w:val="20"/>
              </w:rPr>
              <w:t>RFI to ask provider community which approaches would best support the mission articulated in Q1</w:t>
            </w:r>
          </w:p>
          <w:p w14:paraId="7140D934" w14:textId="336F9A16" w:rsidR="00193014" w:rsidRPr="002A3F5F" w:rsidRDefault="00193014" w:rsidP="00A94817">
            <w:pPr>
              <w:pStyle w:val="ListParagraph"/>
              <w:numPr>
                <w:ilvl w:val="0"/>
                <w:numId w:val="29"/>
              </w:numPr>
              <w:ind w:left="61" w:hanging="180"/>
              <w:rPr>
                <w:sz w:val="20"/>
                <w:szCs w:val="20"/>
              </w:rPr>
            </w:pPr>
            <w:r>
              <w:rPr>
                <w:i/>
                <w:sz w:val="20"/>
                <w:szCs w:val="20"/>
              </w:rPr>
              <w:t>Consulting Neighboring State X, a leader in this space, on</w:t>
            </w:r>
            <w:r w:rsidRPr="00D20BC3">
              <w:rPr>
                <w:i/>
                <w:sz w:val="20"/>
                <w:szCs w:val="20"/>
              </w:rPr>
              <w:t xml:space="preserve"> strategies they’ve used to </w:t>
            </w:r>
            <w:r>
              <w:rPr>
                <w:i/>
                <w:sz w:val="20"/>
                <w:szCs w:val="20"/>
              </w:rPr>
              <w:t>reduce</w:t>
            </w:r>
            <w:r w:rsidRPr="00D20BC3">
              <w:rPr>
                <w:i/>
                <w:sz w:val="20"/>
                <w:szCs w:val="20"/>
              </w:rPr>
              <w:t xml:space="preserve"> </w:t>
            </w:r>
            <w:r>
              <w:rPr>
                <w:i/>
                <w:sz w:val="20"/>
                <w:szCs w:val="20"/>
              </w:rPr>
              <w:t>ER</w:t>
            </w:r>
            <w:r w:rsidRPr="00D20BC3">
              <w:rPr>
                <w:i/>
                <w:sz w:val="20"/>
                <w:szCs w:val="20"/>
              </w:rPr>
              <w:t xml:space="preserve"> visits and long-term residential care among their elderly population.</w:t>
            </w:r>
          </w:p>
          <w:p w14:paraId="15995DD2" w14:textId="6E33445D" w:rsidR="00193014" w:rsidRPr="009D3177" w:rsidRDefault="00193014" w:rsidP="009772EB">
            <w:pPr>
              <w:pStyle w:val="ListParagraph"/>
              <w:numPr>
                <w:ilvl w:val="0"/>
                <w:numId w:val="29"/>
              </w:numPr>
              <w:spacing w:before="120"/>
              <w:ind w:left="72" w:hanging="187"/>
              <w:contextualSpacing w:val="0"/>
              <w:rPr>
                <w:sz w:val="20"/>
                <w:szCs w:val="20"/>
              </w:rPr>
            </w:pPr>
            <w:r>
              <w:rPr>
                <w:i/>
                <w:sz w:val="20"/>
                <w:szCs w:val="20"/>
              </w:rPr>
              <w:t>Neighboring State X contracts with providers to provide short-term, home-based support services for elderly individuals experiencing a crisis</w:t>
            </w:r>
          </w:p>
          <w:p w14:paraId="0A4A638F" w14:textId="09019206" w:rsidR="00193014" w:rsidRPr="003F581A" w:rsidRDefault="00193014" w:rsidP="00907F6B">
            <w:pPr>
              <w:pStyle w:val="ListParagraph"/>
              <w:numPr>
                <w:ilvl w:val="0"/>
                <w:numId w:val="29"/>
              </w:numPr>
              <w:ind w:left="60" w:hanging="180"/>
              <w:rPr>
                <w:sz w:val="20"/>
                <w:szCs w:val="20"/>
              </w:rPr>
            </w:pPr>
            <w:r>
              <w:rPr>
                <w:i/>
                <w:sz w:val="20"/>
                <w:szCs w:val="20"/>
              </w:rPr>
              <w:t>Some approaches allow providers to make referrals to other community-based and in-home service providers</w:t>
            </w:r>
          </w:p>
          <w:p w14:paraId="3C7CA0D0" w14:textId="4DDAD8E4" w:rsidR="00193014" w:rsidRPr="009D3177" w:rsidRDefault="00193014" w:rsidP="00907F6B">
            <w:pPr>
              <w:pStyle w:val="ListParagraph"/>
              <w:numPr>
                <w:ilvl w:val="0"/>
                <w:numId w:val="29"/>
              </w:numPr>
              <w:ind w:left="60" w:hanging="180"/>
              <w:rPr>
                <w:sz w:val="20"/>
                <w:szCs w:val="20"/>
              </w:rPr>
            </w:pPr>
            <w:r>
              <w:rPr>
                <w:i/>
                <w:sz w:val="20"/>
                <w:szCs w:val="20"/>
              </w:rPr>
              <w:t>Other approaches have the contracted providers deliver all the services themselves.</w:t>
            </w:r>
          </w:p>
        </w:tc>
        <w:tc>
          <w:tcPr>
            <w:tcW w:w="382" w:type="dxa"/>
            <w:vMerge w:val="restart"/>
            <w:tcBorders>
              <w:top w:val="single" w:sz="4" w:space="0" w:color="auto"/>
              <w:left w:val="single" w:sz="4" w:space="0" w:color="auto"/>
              <w:right w:val="nil"/>
            </w:tcBorders>
          </w:tcPr>
          <w:p w14:paraId="582CA590" w14:textId="778AA88B" w:rsidR="00193014" w:rsidRDefault="00193014" w:rsidP="00347C61">
            <w:pPr>
              <w:rPr>
                <w:sz w:val="20"/>
                <w:szCs w:val="20"/>
              </w:rPr>
            </w:pPr>
            <w:r>
              <w:rPr>
                <w:sz w:val="20"/>
                <w:szCs w:val="20"/>
              </w:rPr>
              <w:t>7.</w:t>
            </w:r>
          </w:p>
        </w:tc>
        <w:tc>
          <w:tcPr>
            <w:tcW w:w="3307" w:type="dxa"/>
            <w:vMerge w:val="restart"/>
            <w:tcBorders>
              <w:top w:val="single" w:sz="4" w:space="0" w:color="auto"/>
              <w:left w:val="nil"/>
              <w:right w:val="single" w:sz="4" w:space="0" w:color="auto"/>
            </w:tcBorders>
          </w:tcPr>
          <w:p w14:paraId="64DCDA8D" w14:textId="4AF40E87" w:rsidR="00193014" w:rsidRPr="00BF7348" w:rsidRDefault="00193014" w:rsidP="00907F6B">
            <w:pPr>
              <w:pStyle w:val="ListParagraph"/>
              <w:numPr>
                <w:ilvl w:val="0"/>
                <w:numId w:val="22"/>
              </w:numPr>
              <w:ind w:left="106" w:hanging="180"/>
              <w:rPr>
                <w:sz w:val="20"/>
                <w:szCs w:val="20"/>
              </w:rPr>
            </w:pPr>
            <w:r>
              <w:rPr>
                <w:i/>
                <w:sz w:val="20"/>
                <w:szCs w:val="20"/>
              </w:rPr>
              <w:t>RFI prompting bidders to recommend alternative solutions to the state’s current approach.</w:t>
            </w:r>
          </w:p>
          <w:p w14:paraId="7B9B8AC1" w14:textId="44CDA72A" w:rsidR="00193014" w:rsidRPr="006B1523" w:rsidRDefault="00193014" w:rsidP="00907F6B">
            <w:pPr>
              <w:pStyle w:val="ListParagraph"/>
              <w:numPr>
                <w:ilvl w:val="0"/>
                <w:numId w:val="22"/>
              </w:numPr>
              <w:ind w:left="106" w:hanging="180"/>
              <w:rPr>
                <w:i/>
                <w:sz w:val="20"/>
                <w:szCs w:val="20"/>
              </w:rPr>
            </w:pPr>
            <w:r>
              <w:rPr>
                <w:i/>
                <w:sz w:val="20"/>
                <w:szCs w:val="20"/>
              </w:rPr>
              <w:t>Town H</w:t>
            </w:r>
            <w:r w:rsidRPr="006B1523">
              <w:rPr>
                <w:i/>
                <w:sz w:val="20"/>
                <w:szCs w:val="20"/>
              </w:rPr>
              <w:t xml:space="preserve">all </w:t>
            </w:r>
            <w:r>
              <w:rPr>
                <w:i/>
                <w:sz w:val="20"/>
                <w:szCs w:val="20"/>
              </w:rPr>
              <w:t>for vendors to discuss and ask questions about the agency’s priorities, vision, and current challenges.</w:t>
            </w:r>
          </w:p>
          <w:p w14:paraId="243ACA62" w14:textId="7DA3164E" w:rsidR="00193014" w:rsidRPr="001A77EF" w:rsidRDefault="00193014" w:rsidP="002A3F5F">
            <w:pPr>
              <w:pStyle w:val="ListParagraph"/>
              <w:numPr>
                <w:ilvl w:val="0"/>
                <w:numId w:val="22"/>
              </w:numPr>
              <w:ind w:left="106" w:right="-29" w:hanging="180"/>
              <w:rPr>
                <w:sz w:val="20"/>
                <w:szCs w:val="20"/>
              </w:rPr>
            </w:pPr>
            <w:r>
              <w:rPr>
                <w:i/>
                <w:sz w:val="20"/>
                <w:szCs w:val="20"/>
              </w:rPr>
              <w:t>Pre-bid conference for potential vendors to ask specific questions about this RFP.</w:t>
            </w:r>
          </w:p>
          <w:p w14:paraId="07B93DD9" w14:textId="623E09F9" w:rsidR="00193014" w:rsidRPr="006B1523" w:rsidRDefault="00193014" w:rsidP="00193014">
            <w:pPr>
              <w:pStyle w:val="ListParagraph"/>
              <w:numPr>
                <w:ilvl w:val="0"/>
                <w:numId w:val="22"/>
              </w:numPr>
              <w:ind w:left="106" w:hanging="180"/>
              <w:rPr>
                <w:sz w:val="20"/>
                <w:szCs w:val="20"/>
              </w:rPr>
            </w:pPr>
            <w:r>
              <w:rPr>
                <w:i/>
                <w:sz w:val="20"/>
                <w:szCs w:val="20"/>
              </w:rPr>
              <w:t>I</w:t>
            </w:r>
            <w:r w:rsidRPr="002A3F5F">
              <w:rPr>
                <w:i/>
                <w:sz w:val="20"/>
                <w:szCs w:val="20"/>
              </w:rPr>
              <w:t xml:space="preserve">nternal partners who are unfamiliar with </w:t>
            </w:r>
            <w:r>
              <w:rPr>
                <w:i/>
                <w:sz w:val="20"/>
                <w:szCs w:val="20"/>
              </w:rPr>
              <w:t>this</w:t>
            </w:r>
            <w:r w:rsidRPr="002A3F5F">
              <w:rPr>
                <w:i/>
                <w:sz w:val="20"/>
                <w:szCs w:val="20"/>
              </w:rPr>
              <w:t xml:space="preserve"> program </w:t>
            </w:r>
            <w:r>
              <w:rPr>
                <w:i/>
                <w:sz w:val="20"/>
                <w:szCs w:val="20"/>
              </w:rPr>
              <w:t xml:space="preserve">will </w:t>
            </w:r>
            <w:r w:rsidRPr="002A3F5F">
              <w:rPr>
                <w:i/>
                <w:sz w:val="20"/>
                <w:szCs w:val="20"/>
              </w:rPr>
              <w:t>review the R</w:t>
            </w:r>
            <w:r>
              <w:rPr>
                <w:i/>
                <w:sz w:val="20"/>
                <w:szCs w:val="20"/>
              </w:rPr>
              <w:t>FP in order to</w:t>
            </w:r>
            <w:r w:rsidRPr="002A3F5F">
              <w:rPr>
                <w:i/>
                <w:sz w:val="20"/>
                <w:szCs w:val="20"/>
              </w:rPr>
              <w:t xml:space="preserve"> ensure the RFP is ea</w:t>
            </w:r>
            <w:r>
              <w:rPr>
                <w:i/>
                <w:sz w:val="20"/>
                <w:szCs w:val="20"/>
              </w:rPr>
              <w:t>sy to understand and respond to.</w:t>
            </w:r>
            <w:r w:rsidRPr="002A3F5F">
              <w:rPr>
                <w:i/>
                <w:sz w:val="20"/>
                <w:szCs w:val="20"/>
              </w:rPr>
              <w:t xml:space="preserve"> </w:t>
            </w:r>
          </w:p>
        </w:tc>
      </w:tr>
      <w:tr w:rsidR="00193014" w14:paraId="14A881D8" w14:textId="77777777" w:rsidTr="004E5291">
        <w:trPr>
          <w:gridAfter w:val="1"/>
          <w:wAfter w:w="6" w:type="dxa"/>
          <w:trHeight w:val="244"/>
        </w:trPr>
        <w:tc>
          <w:tcPr>
            <w:tcW w:w="457" w:type="dxa"/>
            <w:vMerge/>
            <w:tcBorders>
              <w:left w:val="single" w:sz="4" w:space="0" w:color="auto"/>
              <w:bottom w:val="single" w:sz="4" w:space="0" w:color="auto"/>
              <w:right w:val="nil"/>
            </w:tcBorders>
          </w:tcPr>
          <w:p w14:paraId="4D130ED6" w14:textId="77777777" w:rsidR="00193014" w:rsidRDefault="00193014" w:rsidP="00A94817">
            <w:pPr>
              <w:ind w:right="-120"/>
              <w:rPr>
                <w:sz w:val="20"/>
                <w:szCs w:val="20"/>
              </w:rPr>
            </w:pPr>
          </w:p>
        </w:tc>
        <w:tc>
          <w:tcPr>
            <w:tcW w:w="3767" w:type="dxa"/>
            <w:vMerge/>
            <w:tcBorders>
              <w:left w:val="nil"/>
              <w:bottom w:val="single" w:sz="4" w:space="0" w:color="auto"/>
              <w:right w:val="single" w:sz="4" w:space="0" w:color="auto"/>
            </w:tcBorders>
          </w:tcPr>
          <w:p w14:paraId="6F2D0F71" w14:textId="77777777" w:rsidR="00193014" w:rsidRDefault="00193014" w:rsidP="009B0B97">
            <w:pPr>
              <w:rPr>
                <w:i/>
                <w:sz w:val="20"/>
                <w:szCs w:val="20"/>
              </w:rPr>
            </w:pPr>
          </w:p>
        </w:tc>
        <w:tc>
          <w:tcPr>
            <w:tcW w:w="457" w:type="dxa"/>
            <w:vMerge w:val="restart"/>
            <w:tcBorders>
              <w:left w:val="single" w:sz="4" w:space="0" w:color="auto"/>
              <w:right w:val="nil"/>
            </w:tcBorders>
          </w:tcPr>
          <w:p w14:paraId="79173B7C" w14:textId="77777777" w:rsidR="00193014" w:rsidRDefault="00193014" w:rsidP="00A94817">
            <w:pPr>
              <w:ind w:right="-120"/>
              <w:rPr>
                <w:sz w:val="20"/>
                <w:szCs w:val="20"/>
              </w:rPr>
            </w:pPr>
            <w:r>
              <w:rPr>
                <w:sz w:val="20"/>
                <w:szCs w:val="20"/>
              </w:rPr>
              <w:t>5.</w:t>
            </w:r>
          </w:p>
          <w:p w14:paraId="0B51EAA1" w14:textId="77777777" w:rsidR="00193014" w:rsidRDefault="00193014" w:rsidP="00A94817">
            <w:pPr>
              <w:ind w:right="-120"/>
              <w:rPr>
                <w:sz w:val="20"/>
                <w:szCs w:val="20"/>
              </w:rPr>
            </w:pPr>
            <w:r>
              <w:rPr>
                <w:sz w:val="20"/>
                <w:szCs w:val="20"/>
              </w:rPr>
              <w:t>(a)</w:t>
            </w:r>
          </w:p>
          <w:p w14:paraId="60A2C939" w14:textId="77777777" w:rsidR="00193014" w:rsidRDefault="00193014" w:rsidP="00A94817">
            <w:pPr>
              <w:ind w:right="-120"/>
              <w:rPr>
                <w:sz w:val="20"/>
                <w:szCs w:val="20"/>
              </w:rPr>
            </w:pPr>
          </w:p>
          <w:p w14:paraId="600E8C63" w14:textId="77777777" w:rsidR="00193014" w:rsidRDefault="00193014" w:rsidP="00A94817">
            <w:pPr>
              <w:ind w:right="-120"/>
              <w:rPr>
                <w:sz w:val="20"/>
                <w:szCs w:val="20"/>
              </w:rPr>
            </w:pPr>
          </w:p>
          <w:p w14:paraId="292C9565" w14:textId="77777777" w:rsidR="00193014" w:rsidRDefault="00193014" w:rsidP="00A94817">
            <w:pPr>
              <w:ind w:right="-120"/>
              <w:rPr>
                <w:sz w:val="20"/>
                <w:szCs w:val="20"/>
              </w:rPr>
            </w:pPr>
          </w:p>
          <w:p w14:paraId="2E6C1EF5" w14:textId="77777777" w:rsidR="00193014" w:rsidRDefault="00193014" w:rsidP="00A94817">
            <w:pPr>
              <w:ind w:right="-120"/>
              <w:rPr>
                <w:sz w:val="20"/>
                <w:szCs w:val="20"/>
              </w:rPr>
            </w:pPr>
          </w:p>
          <w:p w14:paraId="04EC59A0" w14:textId="77777777" w:rsidR="00193014" w:rsidRDefault="00193014" w:rsidP="00A94817">
            <w:pPr>
              <w:ind w:right="-120"/>
              <w:rPr>
                <w:sz w:val="20"/>
                <w:szCs w:val="20"/>
              </w:rPr>
            </w:pPr>
          </w:p>
          <w:p w14:paraId="7A370093" w14:textId="77777777" w:rsidR="00193014" w:rsidRDefault="00193014" w:rsidP="00A94817">
            <w:pPr>
              <w:ind w:right="-120"/>
              <w:rPr>
                <w:sz w:val="20"/>
                <w:szCs w:val="20"/>
              </w:rPr>
            </w:pPr>
          </w:p>
          <w:p w14:paraId="2EB64AE0" w14:textId="2B1E031C" w:rsidR="00193014" w:rsidRDefault="00193014" w:rsidP="00A94817">
            <w:pPr>
              <w:ind w:right="-120"/>
              <w:rPr>
                <w:sz w:val="20"/>
                <w:szCs w:val="20"/>
              </w:rPr>
            </w:pPr>
            <w:r>
              <w:rPr>
                <w:sz w:val="20"/>
                <w:szCs w:val="20"/>
              </w:rPr>
              <w:t>(b)</w:t>
            </w:r>
          </w:p>
        </w:tc>
        <w:tc>
          <w:tcPr>
            <w:tcW w:w="4765" w:type="dxa"/>
            <w:vMerge w:val="restart"/>
            <w:tcBorders>
              <w:top w:val="single" w:sz="4" w:space="0" w:color="auto"/>
              <w:left w:val="nil"/>
              <w:right w:val="single" w:sz="4" w:space="0" w:color="auto"/>
            </w:tcBorders>
          </w:tcPr>
          <w:p w14:paraId="6062C9D0" w14:textId="77777777" w:rsidR="00193014" w:rsidRPr="007D7AF5" w:rsidRDefault="00193014" w:rsidP="00907F6B">
            <w:pPr>
              <w:pStyle w:val="ListParagraph"/>
              <w:numPr>
                <w:ilvl w:val="0"/>
                <w:numId w:val="23"/>
              </w:numPr>
              <w:ind w:left="76" w:hanging="180"/>
              <w:rPr>
                <w:sz w:val="20"/>
                <w:szCs w:val="20"/>
              </w:rPr>
            </w:pPr>
            <w:r>
              <w:rPr>
                <w:i/>
                <w:sz w:val="20"/>
                <w:szCs w:val="20"/>
              </w:rPr>
              <w:t>RFI asked providers to present compelling evidence on how their program(s) will have a meaningful and observable impact on the elderly.</w:t>
            </w:r>
          </w:p>
          <w:p w14:paraId="48E518B6" w14:textId="77777777" w:rsidR="00193014" w:rsidRPr="007D7AF5" w:rsidRDefault="00193014" w:rsidP="00907F6B">
            <w:pPr>
              <w:pStyle w:val="ListParagraph"/>
              <w:numPr>
                <w:ilvl w:val="0"/>
                <w:numId w:val="23"/>
              </w:numPr>
              <w:ind w:left="76" w:hanging="180"/>
              <w:rPr>
                <w:sz w:val="20"/>
                <w:szCs w:val="20"/>
              </w:rPr>
            </w:pPr>
            <w:r>
              <w:rPr>
                <w:i/>
                <w:sz w:val="20"/>
                <w:szCs w:val="20"/>
              </w:rPr>
              <w:t>Consulting with an academic expert about her research on promising elder care approaches.</w:t>
            </w:r>
          </w:p>
          <w:p w14:paraId="17F1EA64" w14:textId="77777777" w:rsidR="00193014" w:rsidRPr="009772EB" w:rsidRDefault="00193014" w:rsidP="00347C61">
            <w:pPr>
              <w:pStyle w:val="ListParagraph"/>
              <w:numPr>
                <w:ilvl w:val="0"/>
                <w:numId w:val="23"/>
              </w:numPr>
              <w:ind w:left="76" w:hanging="180"/>
              <w:rPr>
                <w:sz w:val="20"/>
                <w:szCs w:val="20"/>
              </w:rPr>
            </w:pPr>
            <w:r>
              <w:rPr>
                <w:i/>
                <w:sz w:val="20"/>
                <w:szCs w:val="20"/>
              </w:rPr>
              <w:t>Intern conducted a literature review and broad market research on elder care best practices.</w:t>
            </w:r>
          </w:p>
          <w:p w14:paraId="36B9C3DD" w14:textId="77777777" w:rsidR="00193014" w:rsidRPr="003F581A" w:rsidRDefault="00193014" w:rsidP="009772EB">
            <w:pPr>
              <w:pStyle w:val="ListParagraph"/>
              <w:numPr>
                <w:ilvl w:val="0"/>
                <w:numId w:val="22"/>
              </w:numPr>
              <w:spacing w:before="120"/>
              <w:ind w:left="86" w:hanging="187"/>
              <w:contextualSpacing w:val="0"/>
              <w:rPr>
                <w:i/>
                <w:sz w:val="20"/>
                <w:szCs w:val="20"/>
              </w:rPr>
            </w:pPr>
            <w:r w:rsidRPr="003F581A">
              <w:rPr>
                <w:i/>
                <w:sz w:val="20"/>
                <w:szCs w:val="20"/>
              </w:rPr>
              <w:t>Asse</w:t>
            </w:r>
            <w:r>
              <w:rPr>
                <w:i/>
                <w:sz w:val="20"/>
                <w:szCs w:val="20"/>
              </w:rPr>
              <w:t xml:space="preserve">ss </w:t>
            </w:r>
            <w:r w:rsidRPr="003F581A">
              <w:rPr>
                <w:i/>
                <w:sz w:val="20"/>
                <w:szCs w:val="20"/>
              </w:rPr>
              <w:t>people</w:t>
            </w:r>
            <w:r>
              <w:rPr>
                <w:i/>
                <w:sz w:val="20"/>
                <w:szCs w:val="20"/>
              </w:rPr>
              <w:t xml:space="preserve"> within set geographic areas to identify</w:t>
            </w:r>
            <w:r w:rsidRPr="003F581A">
              <w:rPr>
                <w:i/>
                <w:sz w:val="20"/>
                <w:szCs w:val="20"/>
              </w:rPr>
              <w:t xml:space="preserve"> all </w:t>
            </w:r>
            <w:r>
              <w:rPr>
                <w:i/>
                <w:sz w:val="20"/>
                <w:szCs w:val="20"/>
              </w:rPr>
              <w:t xml:space="preserve">those </w:t>
            </w:r>
            <w:r w:rsidRPr="003F581A">
              <w:rPr>
                <w:i/>
                <w:sz w:val="20"/>
                <w:szCs w:val="20"/>
              </w:rPr>
              <w:t>in need</w:t>
            </w:r>
            <w:r>
              <w:rPr>
                <w:i/>
                <w:sz w:val="20"/>
                <w:szCs w:val="20"/>
              </w:rPr>
              <w:t>, rather than only those in the ER</w:t>
            </w:r>
          </w:p>
          <w:p w14:paraId="0F9BBE58" w14:textId="77777777" w:rsidR="00193014" w:rsidRPr="003F581A" w:rsidRDefault="00193014" w:rsidP="00907F6B">
            <w:pPr>
              <w:pStyle w:val="ListParagraph"/>
              <w:numPr>
                <w:ilvl w:val="0"/>
                <w:numId w:val="22"/>
              </w:numPr>
              <w:ind w:left="76" w:hanging="180"/>
              <w:rPr>
                <w:i/>
                <w:sz w:val="20"/>
                <w:szCs w:val="20"/>
              </w:rPr>
            </w:pPr>
            <w:r w:rsidRPr="003F581A">
              <w:rPr>
                <w:i/>
                <w:sz w:val="20"/>
                <w:szCs w:val="20"/>
              </w:rPr>
              <w:t>Use in</w:t>
            </w:r>
            <w:r>
              <w:rPr>
                <w:i/>
                <w:sz w:val="20"/>
                <w:szCs w:val="20"/>
              </w:rPr>
              <w:t xml:space="preserve">dustry-accepted </w:t>
            </w:r>
            <w:r w:rsidRPr="003F581A">
              <w:rPr>
                <w:i/>
                <w:sz w:val="20"/>
                <w:szCs w:val="20"/>
              </w:rPr>
              <w:t xml:space="preserve">“healthy aging” </w:t>
            </w:r>
            <w:r>
              <w:rPr>
                <w:i/>
                <w:sz w:val="20"/>
                <w:szCs w:val="20"/>
              </w:rPr>
              <w:t xml:space="preserve">indicators </w:t>
            </w:r>
            <w:r w:rsidRPr="003F581A">
              <w:rPr>
                <w:i/>
                <w:sz w:val="20"/>
                <w:szCs w:val="20"/>
              </w:rPr>
              <w:t xml:space="preserve">in </w:t>
            </w:r>
            <w:r>
              <w:rPr>
                <w:i/>
                <w:sz w:val="20"/>
                <w:szCs w:val="20"/>
              </w:rPr>
              <w:t xml:space="preserve">risk </w:t>
            </w:r>
            <w:r w:rsidRPr="003F581A">
              <w:rPr>
                <w:i/>
                <w:sz w:val="20"/>
                <w:szCs w:val="20"/>
              </w:rPr>
              <w:t>assessments</w:t>
            </w:r>
            <w:r>
              <w:rPr>
                <w:i/>
                <w:sz w:val="20"/>
                <w:szCs w:val="20"/>
              </w:rPr>
              <w:t xml:space="preserve"> to match individuals to services </w:t>
            </w:r>
          </w:p>
          <w:p w14:paraId="64E1ED44" w14:textId="77777777" w:rsidR="00193014" w:rsidRPr="003F581A" w:rsidRDefault="00193014" w:rsidP="00907F6B">
            <w:pPr>
              <w:pStyle w:val="ListParagraph"/>
              <w:numPr>
                <w:ilvl w:val="0"/>
                <w:numId w:val="22"/>
              </w:numPr>
              <w:ind w:left="76" w:hanging="180"/>
              <w:rPr>
                <w:i/>
                <w:sz w:val="20"/>
                <w:szCs w:val="20"/>
              </w:rPr>
            </w:pPr>
            <w:r w:rsidRPr="003F581A">
              <w:rPr>
                <w:i/>
                <w:sz w:val="20"/>
                <w:szCs w:val="20"/>
              </w:rPr>
              <w:t>Use web-based platforms for enrollment and assessment to allow for ease of data use</w:t>
            </w:r>
          </w:p>
          <w:p w14:paraId="226351B6" w14:textId="4A58257D" w:rsidR="00193014" w:rsidRDefault="00193014" w:rsidP="00907F6B">
            <w:pPr>
              <w:pStyle w:val="ListParagraph"/>
              <w:numPr>
                <w:ilvl w:val="0"/>
                <w:numId w:val="22"/>
              </w:numPr>
              <w:ind w:left="76" w:hanging="180"/>
              <w:rPr>
                <w:i/>
                <w:sz w:val="20"/>
                <w:szCs w:val="20"/>
              </w:rPr>
            </w:pPr>
            <w:r w:rsidRPr="003F581A">
              <w:rPr>
                <w:i/>
                <w:sz w:val="20"/>
                <w:szCs w:val="20"/>
              </w:rPr>
              <w:t>Re-assess clients when they complete services</w:t>
            </w:r>
          </w:p>
        </w:tc>
        <w:tc>
          <w:tcPr>
            <w:tcW w:w="382" w:type="dxa"/>
            <w:vMerge/>
            <w:tcBorders>
              <w:left w:val="single" w:sz="4" w:space="0" w:color="auto"/>
              <w:right w:val="nil"/>
            </w:tcBorders>
          </w:tcPr>
          <w:p w14:paraId="574280E4" w14:textId="77777777" w:rsidR="00193014" w:rsidRDefault="00193014" w:rsidP="00347C61">
            <w:pPr>
              <w:rPr>
                <w:sz w:val="20"/>
                <w:szCs w:val="20"/>
              </w:rPr>
            </w:pPr>
          </w:p>
        </w:tc>
        <w:tc>
          <w:tcPr>
            <w:tcW w:w="3307" w:type="dxa"/>
            <w:vMerge/>
            <w:tcBorders>
              <w:left w:val="nil"/>
              <w:right w:val="single" w:sz="4" w:space="0" w:color="auto"/>
            </w:tcBorders>
          </w:tcPr>
          <w:p w14:paraId="2D579980" w14:textId="77777777" w:rsidR="00193014" w:rsidRDefault="00193014" w:rsidP="00907F6B">
            <w:pPr>
              <w:pStyle w:val="ListParagraph"/>
              <w:numPr>
                <w:ilvl w:val="0"/>
                <w:numId w:val="22"/>
              </w:numPr>
              <w:ind w:left="106" w:hanging="180"/>
              <w:rPr>
                <w:i/>
                <w:sz w:val="20"/>
                <w:szCs w:val="20"/>
              </w:rPr>
            </w:pPr>
          </w:p>
        </w:tc>
      </w:tr>
      <w:tr w:rsidR="00193014" w14:paraId="7CC19A4B" w14:textId="77777777" w:rsidTr="004E5291">
        <w:trPr>
          <w:gridAfter w:val="1"/>
          <w:wAfter w:w="6" w:type="dxa"/>
          <w:trHeight w:val="1493"/>
        </w:trPr>
        <w:tc>
          <w:tcPr>
            <w:tcW w:w="457" w:type="dxa"/>
            <w:tcBorders>
              <w:top w:val="single" w:sz="4" w:space="0" w:color="auto"/>
              <w:left w:val="single" w:sz="4" w:space="0" w:color="auto"/>
              <w:bottom w:val="single" w:sz="4" w:space="0" w:color="auto"/>
              <w:right w:val="nil"/>
            </w:tcBorders>
          </w:tcPr>
          <w:p w14:paraId="24A56814" w14:textId="69B8F2FB" w:rsidR="00193014" w:rsidRDefault="00193014" w:rsidP="0015391D">
            <w:pPr>
              <w:rPr>
                <w:sz w:val="20"/>
                <w:szCs w:val="20"/>
              </w:rPr>
            </w:pPr>
            <w:r>
              <w:rPr>
                <w:sz w:val="20"/>
                <w:szCs w:val="20"/>
              </w:rPr>
              <w:t>2.</w:t>
            </w:r>
          </w:p>
        </w:tc>
        <w:tc>
          <w:tcPr>
            <w:tcW w:w="3767" w:type="dxa"/>
            <w:tcBorders>
              <w:top w:val="single" w:sz="4" w:space="0" w:color="auto"/>
              <w:left w:val="nil"/>
              <w:bottom w:val="single" w:sz="4" w:space="0" w:color="auto"/>
              <w:right w:val="single" w:sz="4" w:space="0" w:color="auto"/>
            </w:tcBorders>
          </w:tcPr>
          <w:p w14:paraId="11548C51" w14:textId="77777777" w:rsidR="00193014" w:rsidRPr="009B0B97" w:rsidRDefault="00193014" w:rsidP="009B0B97">
            <w:pPr>
              <w:ind w:left="-120"/>
              <w:rPr>
                <w:i/>
                <w:sz w:val="20"/>
                <w:szCs w:val="20"/>
              </w:rPr>
            </w:pPr>
            <w:r>
              <w:rPr>
                <w:i/>
                <w:sz w:val="20"/>
                <w:szCs w:val="20"/>
              </w:rPr>
              <w:t>Compared to today, in three years:</w:t>
            </w:r>
          </w:p>
          <w:p w14:paraId="7397BD3D" w14:textId="77777777" w:rsidR="00193014" w:rsidRDefault="00193014" w:rsidP="00907F6B">
            <w:pPr>
              <w:pStyle w:val="ListParagraph"/>
              <w:numPr>
                <w:ilvl w:val="0"/>
                <w:numId w:val="19"/>
              </w:numPr>
              <w:ind w:left="61" w:hanging="180"/>
              <w:rPr>
                <w:i/>
                <w:sz w:val="20"/>
                <w:szCs w:val="20"/>
              </w:rPr>
            </w:pPr>
            <w:r>
              <w:rPr>
                <w:i/>
                <w:sz w:val="20"/>
                <w:szCs w:val="20"/>
              </w:rPr>
              <w:t xml:space="preserve">Reduce nursing home population by 20% </w:t>
            </w:r>
          </w:p>
          <w:p w14:paraId="1F43C7BF" w14:textId="77777777" w:rsidR="00193014" w:rsidRDefault="00193014" w:rsidP="00907F6B">
            <w:pPr>
              <w:pStyle w:val="ListParagraph"/>
              <w:numPr>
                <w:ilvl w:val="0"/>
                <w:numId w:val="19"/>
              </w:numPr>
              <w:ind w:left="61" w:hanging="180"/>
              <w:rPr>
                <w:i/>
                <w:sz w:val="20"/>
                <w:szCs w:val="20"/>
              </w:rPr>
            </w:pPr>
            <w:r>
              <w:rPr>
                <w:i/>
                <w:sz w:val="20"/>
                <w:szCs w:val="20"/>
              </w:rPr>
              <w:t>30% fewer preventable ER visits</w:t>
            </w:r>
          </w:p>
          <w:p w14:paraId="0652A429" w14:textId="77777777" w:rsidR="00193014" w:rsidRDefault="00193014" w:rsidP="00907F6B">
            <w:pPr>
              <w:pStyle w:val="ListParagraph"/>
              <w:numPr>
                <w:ilvl w:val="0"/>
                <w:numId w:val="19"/>
              </w:numPr>
              <w:ind w:left="61" w:hanging="180"/>
              <w:rPr>
                <w:i/>
                <w:sz w:val="20"/>
                <w:szCs w:val="20"/>
              </w:rPr>
            </w:pPr>
            <w:r>
              <w:rPr>
                <w:i/>
                <w:sz w:val="20"/>
                <w:szCs w:val="20"/>
              </w:rPr>
              <w:t>20% improvement in “healthy aging” indicators in every district in our state</w:t>
            </w:r>
          </w:p>
          <w:p w14:paraId="78968767" w14:textId="2B706E18" w:rsidR="00193014" w:rsidRDefault="00193014" w:rsidP="009772EB">
            <w:pPr>
              <w:pStyle w:val="ListParagraph"/>
              <w:numPr>
                <w:ilvl w:val="0"/>
                <w:numId w:val="19"/>
              </w:numPr>
              <w:ind w:left="61" w:hanging="180"/>
              <w:rPr>
                <w:i/>
                <w:sz w:val="20"/>
                <w:szCs w:val="20"/>
              </w:rPr>
            </w:pPr>
            <w:r>
              <w:rPr>
                <w:i/>
                <w:sz w:val="20"/>
                <w:szCs w:val="20"/>
              </w:rPr>
              <w:t>40% fewer complaints</w:t>
            </w:r>
          </w:p>
        </w:tc>
        <w:tc>
          <w:tcPr>
            <w:tcW w:w="457" w:type="dxa"/>
            <w:vMerge/>
            <w:tcBorders>
              <w:left w:val="single" w:sz="4" w:space="0" w:color="auto"/>
              <w:right w:val="nil"/>
            </w:tcBorders>
          </w:tcPr>
          <w:p w14:paraId="41D566D7" w14:textId="19F5785D" w:rsidR="00193014" w:rsidRDefault="00193014" w:rsidP="00A94817">
            <w:pPr>
              <w:ind w:right="-120"/>
              <w:rPr>
                <w:sz w:val="20"/>
                <w:szCs w:val="20"/>
              </w:rPr>
            </w:pPr>
          </w:p>
        </w:tc>
        <w:tc>
          <w:tcPr>
            <w:tcW w:w="4765" w:type="dxa"/>
            <w:vMerge/>
            <w:tcBorders>
              <w:left w:val="nil"/>
              <w:right w:val="single" w:sz="4" w:space="0" w:color="auto"/>
            </w:tcBorders>
          </w:tcPr>
          <w:p w14:paraId="32D719A7" w14:textId="6567F65A" w:rsidR="00193014" w:rsidRDefault="00193014" w:rsidP="00907F6B">
            <w:pPr>
              <w:pStyle w:val="ListParagraph"/>
              <w:numPr>
                <w:ilvl w:val="0"/>
                <w:numId w:val="22"/>
              </w:numPr>
              <w:ind w:left="76" w:hanging="180"/>
              <w:rPr>
                <w:i/>
                <w:sz w:val="20"/>
                <w:szCs w:val="20"/>
              </w:rPr>
            </w:pPr>
          </w:p>
        </w:tc>
        <w:tc>
          <w:tcPr>
            <w:tcW w:w="382" w:type="dxa"/>
            <w:vMerge w:val="restart"/>
            <w:tcBorders>
              <w:left w:val="single" w:sz="4" w:space="0" w:color="auto"/>
              <w:bottom w:val="single" w:sz="4" w:space="0" w:color="auto"/>
              <w:right w:val="nil"/>
            </w:tcBorders>
          </w:tcPr>
          <w:p w14:paraId="00FFE374" w14:textId="276C16C5" w:rsidR="00193014" w:rsidRDefault="00193014" w:rsidP="00347C61">
            <w:pPr>
              <w:rPr>
                <w:sz w:val="20"/>
                <w:szCs w:val="20"/>
              </w:rPr>
            </w:pPr>
            <w:r>
              <w:rPr>
                <w:sz w:val="20"/>
                <w:szCs w:val="20"/>
              </w:rPr>
              <w:t>8.</w:t>
            </w:r>
          </w:p>
        </w:tc>
        <w:tc>
          <w:tcPr>
            <w:tcW w:w="3307" w:type="dxa"/>
            <w:vMerge w:val="restart"/>
            <w:tcBorders>
              <w:left w:val="nil"/>
              <w:bottom w:val="single" w:sz="4" w:space="0" w:color="auto"/>
              <w:right w:val="single" w:sz="4" w:space="0" w:color="auto"/>
            </w:tcBorders>
          </w:tcPr>
          <w:p w14:paraId="1CB78D46" w14:textId="77777777" w:rsidR="00193014" w:rsidRPr="0048252C" w:rsidRDefault="00193014" w:rsidP="00C06216">
            <w:pPr>
              <w:pStyle w:val="ListParagraph"/>
              <w:numPr>
                <w:ilvl w:val="0"/>
                <w:numId w:val="24"/>
              </w:numPr>
              <w:ind w:left="136" w:hanging="180"/>
              <w:rPr>
                <w:sz w:val="20"/>
                <w:szCs w:val="20"/>
              </w:rPr>
            </w:pPr>
            <w:r>
              <w:rPr>
                <w:i/>
                <w:sz w:val="20"/>
                <w:szCs w:val="20"/>
              </w:rPr>
              <w:t>We designed and sent out a survey to ask providers about their experiences responding to prior state solicitations (or their decisions not to respond). Insights from this survey will inform changes to the RFP to lower barriers to responding.</w:t>
            </w:r>
          </w:p>
          <w:p w14:paraId="48B36E40" w14:textId="77777777" w:rsidR="00193014" w:rsidRPr="004B329B" w:rsidRDefault="00193014" w:rsidP="00907F6B">
            <w:pPr>
              <w:pStyle w:val="ListParagraph"/>
              <w:numPr>
                <w:ilvl w:val="0"/>
                <w:numId w:val="24"/>
              </w:numPr>
              <w:ind w:left="136" w:hanging="180"/>
              <w:rPr>
                <w:sz w:val="20"/>
                <w:szCs w:val="20"/>
              </w:rPr>
            </w:pPr>
            <w:r>
              <w:rPr>
                <w:i/>
                <w:sz w:val="20"/>
                <w:szCs w:val="20"/>
              </w:rPr>
              <w:t>We are organizing the scope of work into a 4 different functional components, and allowing vendors to bid on one or all of these. This will allow smaller or more specialized vendors to respond.</w:t>
            </w:r>
          </w:p>
          <w:p w14:paraId="73C58D10" w14:textId="014E474E" w:rsidR="00193014" w:rsidRDefault="00193014" w:rsidP="00193014">
            <w:pPr>
              <w:pStyle w:val="ListParagraph"/>
              <w:numPr>
                <w:ilvl w:val="0"/>
                <w:numId w:val="24"/>
              </w:numPr>
              <w:ind w:left="136" w:hanging="180"/>
              <w:rPr>
                <w:i/>
                <w:sz w:val="20"/>
                <w:szCs w:val="20"/>
              </w:rPr>
            </w:pPr>
            <w:r>
              <w:rPr>
                <w:i/>
                <w:sz w:val="20"/>
                <w:szCs w:val="20"/>
              </w:rPr>
              <w:t>In addition to sending the RFP to a list of the current providers, w</w:t>
            </w:r>
            <w:r w:rsidRPr="00407EE4">
              <w:rPr>
                <w:i/>
                <w:sz w:val="20"/>
                <w:szCs w:val="20"/>
              </w:rPr>
              <w:t xml:space="preserve">e will market </w:t>
            </w:r>
            <w:r>
              <w:rPr>
                <w:i/>
                <w:sz w:val="20"/>
                <w:szCs w:val="20"/>
              </w:rPr>
              <w:t>it</w:t>
            </w:r>
            <w:r w:rsidRPr="00407EE4">
              <w:rPr>
                <w:i/>
                <w:sz w:val="20"/>
                <w:szCs w:val="20"/>
              </w:rPr>
              <w:t xml:space="preserve"> on national </w:t>
            </w:r>
            <w:r>
              <w:rPr>
                <w:i/>
                <w:sz w:val="20"/>
                <w:szCs w:val="20"/>
              </w:rPr>
              <w:t xml:space="preserve">and local </w:t>
            </w:r>
            <w:r w:rsidRPr="00407EE4">
              <w:rPr>
                <w:i/>
                <w:sz w:val="20"/>
                <w:szCs w:val="20"/>
              </w:rPr>
              <w:t>list-servs for the provider associations</w:t>
            </w:r>
            <w:r>
              <w:rPr>
                <w:i/>
                <w:sz w:val="20"/>
                <w:szCs w:val="20"/>
              </w:rPr>
              <w:t xml:space="preserve"> in the elderly affairs space.</w:t>
            </w:r>
          </w:p>
        </w:tc>
      </w:tr>
      <w:tr w:rsidR="00193014" w14:paraId="02D244A9" w14:textId="77777777" w:rsidTr="004E5291">
        <w:trPr>
          <w:gridAfter w:val="1"/>
          <w:wAfter w:w="6" w:type="dxa"/>
          <w:trHeight w:val="255"/>
        </w:trPr>
        <w:tc>
          <w:tcPr>
            <w:tcW w:w="457" w:type="dxa"/>
            <w:tcBorders>
              <w:top w:val="single" w:sz="4" w:space="0" w:color="auto"/>
              <w:left w:val="single" w:sz="4" w:space="0" w:color="auto"/>
              <w:bottom w:val="nil"/>
              <w:right w:val="nil"/>
            </w:tcBorders>
          </w:tcPr>
          <w:p w14:paraId="17FD9302" w14:textId="3F9F3EBC" w:rsidR="00193014" w:rsidRDefault="00193014" w:rsidP="004B329B">
            <w:pPr>
              <w:rPr>
                <w:sz w:val="20"/>
                <w:szCs w:val="20"/>
              </w:rPr>
            </w:pPr>
            <w:r>
              <w:rPr>
                <w:sz w:val="20"/>
                <w:szCs w:val="20"/>
              </w:rPr>
              <w:t>3.</w:t>
            </w:r>
          </w:p>
        </w:tc>
        <w:tc>
          <w:tcPr>
            <w:tcW w:w="3767" w:type="dxa"/>
            <w:vMerge w:val="restart"/>
            <w:tcBorders>
              <w:top w:val="single" w:sz="4" w:space="0" w:color="auto"/>
              <w:left w:val="nil"/>
              <w:bottom w:val="nil"/>
              <w:right w:val="single" w:sz="4" w:space="0" w:color="auto"/>
            </w:tcBorders>
          </w:tcPr>
          <w:p w14:paraId="71BDD4C2" w14:textId="25D75777" w:rsidR="00193014" w:rsidRPr="0015391D" w:rsidRDefault="00193014" w:rsidP="009D3177">
            <w:pPr>
              <w:ind w:left="-119"/>
              <w:rPr>
                <w:sz w:val="20"/>
                <w:szCs w:val="20"/>
              </w:rPr>
            </w:pPr>
            <w:r>
              <w:rPr>
                <w:i/>
                <w:sz w:val="20"/>
                <w:szCs w:val="20"/>
              </w:rPr>
              <w:t>Currently g</w:t>
            </w:r>
            <w:r w:rsidRPr="0015391D">
              <w:rPr>
                <w:i/>
                <w:sz w:val="20"/>
                <w:szCs w:val="20"/>
              </w:rPr>
              <w:t>oing well:</w:t>
            </w:r>
          </w:p>
          <w:p w14:paraId="1A98151C" w14:textId="55AD7E38" w:rsidR="00193014" w:rsidRPr="00FC673E" w:rsidRDefault="00193014" w:rsidP="00907F6B">
            <w:pPr>
              <w:pStyle w:val="ListParagraph"/>
              <w:numPr>
                <w:ilvl w:val="0"/>
                <w:numId w:val="21"/>
              </w:numPr>
              <w:ind w:left="61" w:hanging="180"/>
              <w:rPr>
                <w:i/>
                <w:sz w:val="20"/>
                <w:szCs w:val="20"/>
              </w:rPr>
            </w:pPr>
            <w:r w:rsidRPr="00FC673E">
              <w:rPr>
                <w:i/>
                <w:sz w:val="20"/>
                <w:szCs w:val="20"/>
              </w:rPr>
              <w:t>Co</w:t>
            </w:r>
            <w:r>
              <w:rPr>
                <w:i/>
                <w:sz w:val="20"/>
                <w:szCs w:val="20"/>
              </w:rPr>
              <w:t>llaborative data-sharing among</w:t>
            </w:r>
            <w:r w:rsidRPr="00FC673E">
              <w:rPr>
                <w:i/>
                <w:sz w:val="20"/>
                <w:szCs w:val="20"/>
              </w:rPr>
              <w:t xml:space="preserve"> nursing homes </w:t>
            </w:r>
            <w:r>
              <w:rPr>
                <w:i/>
                <w:sz w:val="20"/>
                <w:szCs w:val="20"/>
              </w:rPr>
              <w:t>to</w:t>
            </w:r>
            <w:r w:rsidRPr="00FC673E">
              <w:rPr>
                <w:i/>
                <w:sz w:val="20"/>
                <w:szCs w:val="20"/>
              </w:rPr>
              <w:t xml:space="preserve"> track </w:t>
            </w:r>
            <w:r>
              <w:rPr>
                <w:i/>
                <w:sz w:val="20"/>
                <w:szCs w:val="20"/>
              </w:rPr>
              <w:t>admittance &amp; stay data</w:t>
            </w:r>
          </w:p>
          <w:p w14:paraId="576E85BF" w14:textId="489C1866" w:rsidR="00193014" w:rsidRDefault="00193014" w:rsidP="00907F6B">
            <w:pPr>
              <w:pStyle w:val="ListParagraph"/>
              <w:numPr>
                <w:ilvl w:val="0"/>
                <w:numId w:val="21"/>
              </w:numPr>
              <w:ind w:left="61" w:hanging="180"/>
              <w:rPr>
                <w:i/>
                <w:sz w:val="20"/>
                <w:szCs w:val="20"/>
              </w:rPr>
            </w:pPr>
            <w:r>
              <w:rPr>
                <w:i/>
                <w:sz w:val="20"/>
                <w:szCs w:val="20"/>
              </w:rPr>
              <w:t xml:space="preserve">Well-liked marketing </w:t>
            </w:r>
            <w:r w:rsidRPr="00FC673E">
              <w:rPr>
                <w:i/>
                <w:sz w:val="20"/>
                <w:szCs w:val="20"/>
              </w:rPr>
              <w:t xml:space="preserve">campaign </w:t>
            </w:r>
            <w:r>
              <w:rPr>
                <w:i/>
                <w:sz w:val="20"/>
                <w:szCs w:val="20"/>
              </w:rPr>
              <w:t>to teach caregivers safe home practices for seniors</w:t>
            </w:r>
          </w:p>
          <w:p w14:paraId="1D91DC86" w14:textId="08EF320F" w:rsidR="00193014" w:rsidRPr="009B0B97" w:rsidRDefault="00193014" w:rsidP="0015391D">
            <w:pPr>
              <w:pStyle w:val="ListParagraph"/>
              <w:numPr>
                <w:ilvl w:val="0"/>
                <w:numId w:val="21"/>
              </w:numPr>
              <w:ind w:left="61" w:hanging="180"/>
              <w:rPr>
                <w:i/>
                <w:sz w:val="20"/>
                <w:szCs w:val="20"/>
              </w:rPr>
            </w:pPr>
            <w:r>
              <w:rPr>
                <w:i/>
                <w:sz w:val="20"/>
                <w:szCs w:val="20"/>
              </w:rPr>
              <w:t>Seniors get good care in Emergency Rooms</w:t>
            </w:r>
          </w:p>
          <w:p w14:paraId="7FC5CA68" w14:textId="34BE16E3" w:rsidR="00193014" w:rsidRPr="004B3DE5" w:rsidRDefault="00193014" w:rsidP="009B0B97">
            <w:pPr>
              <w:pStyle w:val="ListParagraph"/>
              <w:spacing w:before="120"/>
              <w:ind w:left="-115"/>
              <w:contextualSpacing w:val="0"/>
              <w:rPr>
                <w:i/>
                <w:sz w:val="20"/>
                <w:szCs w:val="20"/>
              </w:rPr>
            </w:pPr>
            <w:r w:rsidRPr="004B3DE5">
              <w:rPr>
                <w:i/>
                <w:sz w:val="20"/>
                <w:szCs w:val="20"/>
              </w:rPr>
              <w:t xml:space="preserve">Not </w:t>
            </w:r>
            <w:r>
              <w:rPr>
                <w:i/>
                <w:sz w:val="20"/>
                <w:szCs w:val="20"/>
              </w:rPr>
              <w:t xml:space="preserve">currently </w:t>
            </w:r>
            <w:r w:rsidRPr="004B3DE5">
              <w:rPr>
                <w:i/>
                <w:sz w:val="20"/>
                <w:szCs w:val="20"/>
              </w:rPr>
              <w:t>going well:</w:t>
            </w:r>
          </w:p>
          <w:p w14:paraId="61F2EDCB" w14:textId="621E1B58" w:rsidR="00193014" w:rsidRDefault="00193014" w:rsidP="00907F6B">
            <w:pPr>
              <w:pStyle w:val="ListParagraph"/>
              <w:numPr>
                <w:ilvl w:val="0"/>
                <w:numId w:val="20"/>
              </w:numPr>
              <w:ind w:left="61" w:hanging="180"/>
              <w:rPr>
                <w:i/>
                <w:sz w:val="20"/>
                <w:szCs w:val="20"/>
              </w:rPr>
            </w:pPr>
            <w:r>
              <w:rPr>
                <w:i/>
                <w:sz w:val="20"/>
                <w:szCs w:val="20"/>
              </w:rPr>
              <w:t>Elderly individuals arrive at the ER with preventable illnesses and injuries</w:t>
            </w:r>
          </w:p>
          <w:p w14:paraId="7A4CEC78" w14:textId="15DA02F1" w:rsidR="00193014" w:rsidRDefault="00193014" w:rsidP="00907F6B">
            <w:pPr>
              <w:pStyle w:val="ListParagraph"/>
              <w:numPr>
                <w:ilvl w:val="0"/>
                <w:numId w:val="20"/>
              </w:numPr>
              <w:ind w:left="61" w:hanging="180"/>
              <w:rPr>
                <w:i/>
                <w:sz w:val="20"/>
                <w:szCs w:val="20"/>
              </w:rPr>
            </w:pPr>
            <w:r>
              <w:rPr>
                <w:i/>
                <w:sz w:val="20"/>
                <w:szCs w:val="20"/>
              </w:rPr>
              <w:t>Can’t identify seniors at risk for ER visits</w:t>
            </w:r>
          </w:p>
          <w:p w14:paraId="2F26EA75" w14:textId="0EF2931B" w:rsidR="00193014" w:rsidRPr="008213CB" w:rsidRDefault="00193014" w:rsidP="00907F6B">
            <w:pPr>
              <w:pStyle w:val="ListParagraph"/>
              <w:numPr>
                <w:ilvl w:val="0"/>
                <w:numId w:val="20"/>
              </w:numPr>
              <w:ind w:left="61" w:hanging="180"/>
              <w:rPr>
                <w:i/>
                <w:sz w:val="20"/>
                <w:szCs w:val="20"/>
              </w:rPr>
            </w:pPr>
            <w:r>
              <w:rPr>
                <w:i/>
                <w:sz w:val="20"/>
                <w:szCs w:val="20"/>
              </w:rPr>
              <w:t xml:space="preserve">Funding only </w:t>
            </w:r>
            <w:r w:rsidRPr="004B3DE5">
              <w:rPr>
                <w:i/>
                <w:sz w:val="20"/>
                <w:szCs w:val="20"/>
              </w:rPr>
              <w:t>used for responding to, rather than preventing, incidents</w:t>
            </w:r>
          </w:p>
        </w:tc>
        <w:tc>
          <w:tcPr>
            <w:tcW w:w="457" w:type="dxa"/>
            <w:vMerge/>
            <w:tcBorders>
              <w:left w:val="single" w:sz="4" w:space="0" w:color="auto"/>
              <w:bottom w:val="single" w:sz="4" w:space="0" w:color="auto"/>
              <w:right w:val="nil"/>
            </w:tcBorders>
          </w:tcPr>
          <w:p w14:paraId="31D3F0C7" w14:textId="77777777" w:rsidR="00193014" w:rsidRDefault="00193014" w:rsidP="00347C61">
            <w:pPr>
              <w:rPr>
                <w:sz w:val="20"/>
                <w:szCs w:val="20"/>
              </w:rPr>
            </w:pPr>
          </w:p>
        </w:tc>
        <w:tc>
          <w:tcPr>
            <w:tcW w:w="4765" w:type="dxa"/>
            <w:vMerge/>
            <w:tcBorders>
              <w:left w:val="nil"/>
              <w:bottom w:val="single" w:sz="4" w:space="0" w:color="auto"/>
              <w:right w:val="single" w:sz="4" w:space="0" w:color="auto"/>
            </w:tcBorders>
          </w:tcPr>
          <w:p w14:paraId="02FD653F" w14:textId="6D38A9B8" w:rsidR="00193014" w:rsidRDefault="00193014" w:rsidP="00347C61">
            <w:pPr>
              <w:rPr>
                <w:sz w:val="20"/>
                <w:szCs w:val="20"/>
              </w:rPr>
            </w:pPr>
          </w:p>
        </w:tc>
        <w:tc>
          <w:tcPr>
            <w:tcW w:w="382" w:type="dxa"/>
            <w:vMerge/>
            <w:tcBorders>
              <w:left w:val="single" w:sz="4" w:space="0" w:color="auto"/>
              <w:bottom w:val="nil"/>
              <w:right w:val="nil"/>
            </w:tcBorders>
          </w:tcPr>
          <w:p w14:paraId="7F151AE3" w14:textId="77777777" w:rsidR="00193014" w:rsidRPr="008965D7" w:rsidRDefault="00193014" w:rsidP="00394A13">
            <w:pPr>
              <w:rPr>
                <w:sz w:val="20"/>
                <w:szCs w:val="20"/>
              </w:rPr>
            </w:pPr>
          </w:p>
        </w:tc>
        <w:tc>
          <w:tcPr>
            <w:tcW w:w="3307" w:type="dxa"/>
            <w:vMerge/>
            <w:tcBorders>
              <w:left w:val="nil"/>
              <w:right w:val="single" w:sz="4" w:space="0" w:color="auto"/>
            </w:tcBorders>
          </w:tcPr>
          <w:p w14:paraId="4E21D417" w14:textId="0F926ABA" w:rsidR="00193014" w:rsidRPr="008965D7" w:rsidRDefault="00193014" w:rsidP="00394A13">
            <w:pPr>
              <w:rPr>
                <w:sz w:val="20"/>
                <w:szCs w:val="20"/>
              </w:rPr>
            </w:pPr>
          </w:p>
        </w:tc>
      </w:tr>
      <w:tr w:rsidR="00193014" w14:paraId="316B95EA" w14:textId="77777777" w:rsidTr="004E5291">
        <w:trPr>
          <w:gridAfter w:val="1"/>
          <w:wAfter w:w="6" w:type="dxa"/>
        </w:trPr>
        <w:tc>
          <w:tcPr>
            <w:tcW w:w="457" w:type="dxa"/>
            <w:tcBorders>
              <w:top w:val="nil"/>
              <w:left w:val="single" w:sz="4" w:space="0" w:color="auto"/>
              <w:bottom w:val="single" w:sz="4" w:space="0" w:color="auto"/>
              <w:right w:val="nil"/>
            </w:tcBorders>
          </w:tcPr>
          <w:p w14:paraId="14369588" w14:textId="77777777" w:rsidR="00193014" w:rsidRPr="009D3177" w:rsidRDefault="00193014" w:rsidP="009D3177">
            <w:pPr>
              <w:rPr>
                <w:i/>
                <w:sz w:val="20"/>
                <w:szCs w:val="20"/>
              </w:rPr>
            </w:pPr>
          </w:p>
        </w:tc>
        <w:tc>
          <w:tcPr>
            <w:tcW w:w="3767" w:type="dxa"/>
            <w:vMerge/>
            <w:tcBorders>
              <w:top w:val="nil"/>
              <w:left w:val="nil"/>
              <w:bottom w:val="single" w:sz="4" w:space="0" w:color="auto"/>
              <w:right w:val="single" w:sz="4" w:space="0" w:color="auto"/>
            </w:tcBorders>
          </w:tcPr>
          <w:p w14:paraId="560C1E5F" w14:textId="75FD5F1B" w:rsidR="00193014" w:rsidRPr="00D20BC3" w:rsidRDefault="00193014" w:rsidP="00907F6B">
            <w:pPr>
              <w:pStyle w:val="ListParagraph"/>
              <w:numPr>
                <w:ilvl w:val="0"/>
                <w:numId w:val="20"/>
              </w:numPr>
              <w:ind w:left="420" w:hanging="270"/>
              <w:rPr>
                <w:i/>
                <w:sz w:val="20"/>
                <w:szCs w:val="20"/>
              </w:rPr>
            </w:pPr>
          </w:p>
        </w:tc>
        <w:tc>
          <w:tcPr>
            <w:tcW w:w="457" w:type="dxa"/>
            <w:tcBorders>
              <w:top w:val="single" w:sz="4" w:space="0" w:color="auto"/>
              <w:left w:val="single" w:sz="4" w:space="0" w:color="auto"/>
              <w:bottom w:val="single" w:sz="4" w:space="0" w:color="auto"/>
              <w:right w:val="nil"/>
            </w:tcBorders>
          </w:tcPr>
          <w:p w14:paraId="77AECAA4" w14:textId="3AD323C3" w:rsidR="00193014" w:rsidRDefault="00193014" w:rsidP="00347C61">
            <w:pPr>
              <w:rPr>
                <w:sz w:val="20"/>
                <w:szCs w:val="20"/>
              </w:rPr>
            </w:pPr>
            <w:r>
              <w:rPr>
                <w:sz w:val="20"/>
                <w:szCs w:val="20"/>
              </w:rPr>
              <w:t>6.</w:t>
            </w:r>
          </w:p>
        </w:tc>
        <w:tc>
          <w:tcPr>
            <w:tcW w:w="4765" w:type="dxa"/>
            <w:tcBorders>
              <w:top w:val="single" w:sz="4" w:space="0" w:color="auto"/>
              <w:left w:val="nil"/>
              <w:bottom w:val="single" w:sz="4" w:space="0" w:color="auto"/>
              <w:right w:val="single" w:sz="4" w:space="0" w:color="auto"/>
            </w:tcBorders>
          </w:tcPr>
          <w:p w14:paraId="1725F5AD" w14:textId="2D1FE319" w:rsidR="00193014" w:rsidRDefault="00193014" w:rsidP="00907F6B">
            <w:pPr>
              <w:pStyle w:val="ListParagraph"/>
              <w:numPr>
                <w:ilvl w:val="0"/>
                <w:numId w:val="20"/>
              </w:numPr>
              <w:ind w:left="76" w:hanging="180"/>
              <w:rPr>
                <w:sz w:val="20"/>
                <w:szCs w:val="20"/>
              </w:rPr>
            </w:pPr>
            <w:r>
              <w:rPr>
                <w:i/>
                <w:sz w:val="20"/>
                <w:szCs w:val="20"/>
              </w:rPr>
              <w:t>“A</w:t>
            </w:r>
            <w:r w:rsidRPr="00CF676A">
              <w:rPr>
                <w:i/>
                <w:sz w:val="20"/>
                <w:szCs w:val="20"/>
              </w:rPr>
              <w:t>ssumption buster” exercise</w:t>
            </w:r>
            <w:r w:rsidRPr="00C06216">
              <w:rPr>
                <w:i/>
                <w:sz w:val="20"/>
                <w:szCs w:val="20"/>
              </w:rPr>
              <w:t xml:space="preserve"> with agency staff </w:t>
            </w:r>
            <w:r w:rsidRPr="00CF676A">
              <w:rPr>
                <w:i/>
                <w:sz w:val="20"/>
                <w:szCs w:val="20"/>
              </w:rPr>
              <w:t>to get feedback on the need is for this procurement and which approaches seem most promising</w:t>
            </w:r>
            <w:r>
              <w:rPr>
                <w:i/>
                <w:sz w:val="20"/>
                <w:szCs w:val="20"/>
              </w:rPr>
              <w:t>.</w:t>
            </w:r>
          </w:p>
          <w:p w14:paraId="29F5F95B" w14:textId="7CD642DC" w:rsidR="00193014" w:rsidRPr="00CF676A" w:rsidRDefault="00193014" w:rsidP="00C06216">
            <w:pPr>
              <w:pStyle w:val="ListParagraph"/>
              <w:numPr>
                <w:ilvl w:val="0"/>
                <w:numId w:val="20"/>
              </w:numPr>
              <w:ind w:left="76" w:hanging="180"/>
              <w:rPr>
                <w:sz w:val="20"/>
                <w:szCs w:val="20"/>
              </w:rPr>
            </w:pPr>
            <w:r>
              <w:rPr>
                <w:i/>
                <w:sz w:val="20"/>
                <w:szCs w:val="20"/>
              </w:rPr>
              <w:t>A one-day meeting with vendors to do a proof-of-concept challenge where potential vendors design a better assessment algorithm, based on sample data.</w:t>
            </w:r>
          </w:p>
        </w:tc>
        <w:tc>
          <w:tcPr>
            <w:tcW w:w="382" w:type="dxa"/>
            <w:tcBorders>
              <w:top w:val="nil"/>
              <w:left w:val="single" w:sz="4" w:space="0" w:color="auto"/>
              <w:bottom w:val="single" w:sz="4" w:space="0" w:color="auto"/>
              <w:right w:val="nil"/>
            </w:tcBorders>
          </w:tcPr>
          <w:p w14:paraId="375432C5" w14:textId="77777777" w:rsidR="00193014" w:rsidRPr="008965D7" w:rsidRDefault="00193014" w:rsidP="00394A13">
            <w:pPr>
              <w:rPr>
                <w:sz w:val="20"/>
                <w:szCs w:val="20"/>
              </w:rPr>
            </w:pPr>
          </w:p>
        </w:tc>
        <w:tc>
          <w:tcPr>
            <w:tcW w:w="3307" w:type="dxa"/>
            <w:vMerge/>
            <w:tcBorders>
              <w:left w:val="nil"/>
              <w:bottom w:val="single" w:sz="4" w:space="0" w:color="auto"/>
              <w:right w:val="single" w:sz="4" w:space="0" w:color="auto"/>
            </w:tcBorders>
          </w:tcPr>
          <w:p w14:paraId="5C6BDF8A" w14:textId="67B574F1" w:rsidR="00193014" w:rsidRPr="008965D7" w:rsidRDefault="00193014" w:rsidP="00394A13">
            <w:pPr>
              <w:rPr>
                <w:sz w:val="20"/>
                <w:szCs w:val="20"/>
              </w:rPr>
            </w:pPr>
          </w:p>
        </w:tc>
      </w:tr>
    </w:tbl>
    <w:p w14:paraId="28B78EC4" w14:textId="717E51F2" w:rsidR="000542D1" w:rsidRDefault="000542D1" w:rsidP="004E5291">
      <w:pPr>
        <w:rPr>
          <w:b/>
        </w:rPr>
      </w:pPr>
    </w:p>
    <w:sectPr w:rsidR="000542D1" w:rsidSect="00687DAA">
      <w:footerReference w:type="default" r:id="rId9"/>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72A2" w14:textId="77777777" w:rsidR="00065F50" w:rsidRDefault="00065F50" w:rsidP="00554743">
      <w:pPr>
        <w:spacing w:after="0" w:line="240" w:lineRule="auto"/>
      </w:pPr>
      <w:r>
        <w:separator/>
      </w:r>
    </w:p>
  </w:endnote>
  <w:endnote w:type="continuationSeparator" w:id="0">
    <w:p w14:paraId="7A52B0EB" w14:textId="77777777" w:rsidR="00065F50" w:rsidRDefault="00065F50" w:rsidP="0055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50C4" w14:textId="3086BE77" w:rsidR="00C06216" w:rsidRDefault="00687DAA" w:rsidP="00687DAA">
    <w:pPr>
      <w:pStyle w:val="Footer"/>
      <w:jc w:val="center"/>
    </w:pPr>
    <w:r w:rsidRPr="00687DAA">
      <w:rPr>
        <w:noProof/>
      </w:rPr>
      <w:ptab w:relativeTo="margin" w:alignment="center" w:leader="none"/>
    </w:r>
    <w:r>
      <w:rPr>
        <w:noProof/>
      </w:rPr>
      <w:fldChar w:fldCharType="begin"/>
    </w:r>
    <w:r>
      <w:rPr>
        <w:noProof/>
      </w:rPr>
      <w:instrText xml:space="preserve"> PAGE   \* MERGEFORMAT </w:instrText>
    </w:r>
    <w:r>
      <w:rPr>
        <w:noProof/>
      </w:rPr>
      <w:fldChar w:fldCharType="separate"/>
    </w:r>
    <w:r w:rsidR="00146832">
      <w:rPr>
        <w:noProof/>
      </w:rPr>
      <w:t>1</w:t>
    </w:r>
    <w:r>
      <w:rPr>
        <w:noProof/>
      </w:rPr>
      <w:fldChar w:fldCharType="end"/>
    </w:r>
    <w:r w:rsidRPr="00687DAA">
      <w:rPr>
        <w:noProof/>
      </w:rPr>
      <w:ptab w:relativeTo="margin" w:alignment="right" w:leader="none"/>
    </w:r>
    <w:r>
      <w:rPr>
        <w:noProof/>
      </w:rPr>
      <w:t>v. 3/8/18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1938" w14:textId="77777777" w:rsidR="00065F50" w:rsidRDefault="00065F50" w:rsidP="00554743">
      <w:pPr>
        <w:spacing w:after="0" w:line="240" w:lineRule="auto"/>
      </w:pPr>
      <w:r>
        <w:separator/>
      </w:r>
    </w:p>
  </w:footnote>
  <w:footnote w:type="continuationSeparator" w:id="0">
    <w:p w14:paraId="36C3C59D" w14:textId="77777777" w:rsidR="00065F50" w:rsidRDefault="00065F50" w:rsidP="00554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2DD5"/>
    <w:multiLevelType w:val="hybridMultilevel"/>
    <w:tmpl w:val="A68CC072"/>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17B231EB"/>
    <w:multiLevelType w:val="hybridMultilevel"/>
    <w:tmpl w:val="986C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72F27"/>
    <w:multiLevelType w:val="hybridMultilevel"/>
    <w:tmpl w:val="6F882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8B6004"/>
    <w:multiLevelType w:val="hybridMultilevel"/>
    <w:tmpl w:val="6688C7F2"/>
    <w:lvl w:ilvl="0" w:tplc="4E4872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2587C"/>
    <w:multiLevelType w:val="hybridMultilevel"/>
    <w:tmpl w:val="C4E04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731C84"/>
    <w:multiLevelType w:val="hybridMultilevel"/>
    <w:tmpl w:val="8692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81DF7"/>
    <w:multiLevelType w:val="hybridMultilevel"/>
    <w:tmpl w:val="79949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21A34"/>
    <w:multiLevelType w:val="hybridMultilevel"/>
    <w:tmpl w:val="C37E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64EF"/>
    <w:multiLevelType w:val="hybridMultilevel"/>
    <w:tmpl w:val="8FB44F5A"/>
    <w:lvl w:ilvl="0" w:tplc="68BA4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5E40"/>
    <w:multiLevelType w:val="hybridMultilevel"/>
    <w:tmpl w:val="8612E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256623"/>
    <w:multiLevelType w:val="hybridMultilevel"/>
    <w:tmpl w:val="B05E8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F35A9C"/>
    <w:multiLevelType w:val="hybridMultilevel"/>
    <w:tmpl w:val="C10EDAF8"/>
    <w:lvl w:ilvl="0" w:tplc="0E981F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23FEB"/>
    <w:multiLevelType w:val="hybridMultilevel"/>
    <w:tmpl w:val="A060FAFE"/>
    <w:lvl w:ilvl="0" w:tplc="5C4E8E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D37D7"/>
    <w:multiLevelType w:val="hybridMultilevel"/>
    <w:tmpl w:val="DFB2345A"/>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4" w15:restartNumberingAfterBreak="0">
    <w:nsid w:val="4E9D20C1"/>
    <w:multiLevelType w:val="hybridMultilevel"/>
    <w:tmpl w:val="8418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B4F4B"/>
    <w:multiLevelType w:val="hybridMultilevel"/>
    <w:tmpl w:val="81EEF4DA"/>
    <w:lvl w:ilvl="0" w:tplc="F60CCB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0C99"/>
    <w:multiLevelType w:val="hybridMultilevel"/>
    <w:tmpl w:val="08C0210C"/>
    <w:lvl w:ilvl="0" w:tplc="67E06D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B2C5F"/>
    <w:multiLevelType w:val="hybridMultilevel"/>
    <w:tmpl w:val="F92E12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37836"/>
    <w:multiLevelType w:val="hybridMultilevel"/>
    <w:tmpl w:val="DE90EF98"/>
    <w:lvl w:ilvl="0" w:tplc="A9CA35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C6F9A"/>
    <w:multiLevelType w:val="hybridMultilevel"/>
    <w:tmpl w:val="2D56CA84"/>
    <w:lvl w:ilvl="0" w:tplc="4894B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436C0"/>
    <w:multiLevelType w:val="hybridMultilevel"/>
    <w:tmpl w:val="5D6C6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63504E"/>
    <w:multiLevelType w:val="hybridMultilevel"/>
    <w:tmpl w:val="DA048130"/>
    <w:lvl w:ilvl="0" w:tplc="F0580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3D71AF"/>
    <w:multiLevelType w:val="hybridMultilevel"/>
    <w:tmpl w:val="9A80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83894"/>
    <w:multiLevelType w:val="hybridMultilevel"/>
    <w:tmpl w:val="833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C0F8F"/>
    <w:multiLevelType w:val="hybridMultilevel"/>
    <w:tmpl w:val="46DA7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56030"/>
    <w:multiLevelType w:val="hybridMultilevel"/>
    <w:tmpl w:val="B870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55CB0"/>
    <w:multiLevelType w:val="hybridMultilevel"/>
    <w:tmpl w:val="09EE2B08"/>
    <w:lvl w:ilvl="0" w:tplc="04090001">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7" w15:restartNumberingAfterBreak="0">
    <w:nsid w:val="78064A66"/>
    <w:multiLevelType w:val="hybridMultilevel"/>
    <w:tmpl w:val="DC26440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8" w15:restartNumberingAfterBreak="0">
    <w:nsid w:val="7C063390"/>
    <w:multiLevelType w:val="hybridMultilevel"/>
    <w:tmpl w:val="D00E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0"/>
  </w:num>
  <w:num w:numId="4">
    <w:abstractNumId w:val="22"/>
  </w:num>
  <w:num w:numId="5">
    <w:abstractNumId w:val="5"/>
  </w:num>
  <w:num w:numId="6">
    <w:abstractNumId w:val="6"/>
  </w:num>
  <w:num w:numId="7">
    <w:abstractNumId w:val="17"/>
  </w:num>
  <w:num w:numId="8">
    <w:abstractNumId w:val="23"/>
  </w:num>
  <w:num w:numId="9">
    <w:abstractNumId w:val="25"/>
  </w:num>
  <w:num w:numId="10">
    <w:abstractNumId w:val="7"/>
  </w:num>
  <w:num w:numId="11">
    <w:abstractNumId w:val="14"/>
  </w:num>
  <w:num w:numId="12">
    <w:abstractNumId w:val="1"/>
  </w:num>
  <w:num w:numId="13">
    <w:abstractNumId w:val="24"/>
  </w:num>
  <w:num w:numId="14">
    <w:abstractNumId w:val="28"/>
  </w:num>
  <w:num w:numId="15">
    <w:abstractNumId w:val="8"/>
  </w:num>
  <w:num w:numId="16">
    <w:abstractNumId w:val="11"/>
  </w:num>
  <w:num w:numId="17">
    <w:abstractNumId w:val="3"/>
  </w:num>
  <w:num w:numId="18">
    <w:abstractNumId w:val="12"/>
  </w:num>
  <w:num w:numId="19">
    <w:abstractNumId w:val="27"/>
  </w:num>
  <w:num w:numId="20">
    <w:abstractNumId w:val="0"/>
  </w:num>
  <w:num w:numId="21">
    <w:abstractNumId w:val="13"/>
  </w:num>
  <w:num w:numId="22">
    <w:abstractNumId w:val="4"/>
  </w:num>
  <w:num w:numId="23">
    <w:abstractNumId w:val="20"/>
  </w:num>
  <w:num w:numId="24">
    <w:abstractNumId w:val="2"/>
  </w:num>
  <w:num w:numId="25">
    <w:abstractNumId w:val="16"/>
  </w:num>
  <w:num w:numId="26">
    <w:abstractNumId w:val="18"/>
  </w:num>
  <w:num w:numId="27">
    <w:abstractNumId w:val="15"/>
  </w:num>
  <w:num w:numId="28">
    <w:abstractNumId w:val="21"/>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B7"/>
    <w:rsid w:val="00021779"/>
    <w:rsid w:val="00021E68"/>
    <w:rsid w:val="00035E31"/>
    <w:rsid w:val="000542D1"/>
    <w:rsid w:val="00065F50"/>
    <w:rsid w:val="0006611F"/>
    <w:rsid w:val="0007464B"/>
    <w:rsid w:val="00086D2B"/>
    <w:rsid w:val="000B6B4C"/>
    <w:rsid w:val="000D3DF7"/>
    <w:rsid w:val="000D6FE7"/>
    <w:rsid w:val="0011122D"/>
    <w:rsid w:val="00121473"/>
    <w:rsid w:val="00133CC1"/>
    <w:rsid w:val="00146832"/>
    <w:rsid w:val="00147EDC"/>
    <w:rsid w:val="00151F4D"/>
    <w:rsid w:val="0015391D"/>
    <w:rsid w:val="00161B37"/>
    <w:rsid w:val="001821AA"/>
    <w:rsid w:val="00185C8E"/>
    <w:rsid w:val="00187DA1"/>
    <w:rsid w:val="0019294D"/>
    <w:rsid w:val="00193014"/>
    <w:rsid w:val="001A77EF"/>
    <w:rsid w:val="001B04F9"/>
    <w:rsid w:val="001C7020"/>
    <w:rsid w:val="001C798E"/>
    <w:rsid w:val="001D4766"/>
    <w:rsid w:val="001F0B08"/>
    <w:rsid w:val="002179F4"/>
    <w:rsid w:val="0022430B"/>
    <w:rsid w:val="00231988"/>
    <w:rsid w:val="00253812"/>
    <w:rsid w:val="00255592"/>
    <w:rsid w:val="0027659E"/>
    <w:rsid w:val="002A3F5F"/>
    <w:rsid w:val="002B2564"/>
    <w:rsid w:val="002C5A5F"/>
    <w:rsid w:val="002D5D52"/>
    <w:rsid w:val="00307B6E"/>
    <w:rsid w:val="00331871"/>
    <w:rsid w:val="0033641D"/>
    <w:rsid w:val="00347C61"/>
    <w:rsid w:val="00394A13"/>
    <w:rsid w:val="003A7215"/>
    <w:rsid w:val="003B0270"/>
    <w:rsid w:val="003E0260"/>
    <w:rsid w:val="003E3987"/>
    <w:rsid w:val="003F581A"/>
    <w:rsid w:val="00402FA3"/>
    <w:rsid w:val="00407EE4"/>
    <w:rsid w:val="00440F13"/>
    <w:rsid w:val="0048252C"/>
    <w:rsid w:val="00483014"/>
    <w:rsid w:val="004A46B4"/>
    <w:rsid w:val="004A4CA6"/>
    <w:rsid w:val="004A5971"/>
    <w:rsid w:val="004B2251"/>
    <w:rsid w:val="004B329B"/>
    <w:rsid w:val="004B3DE5"/>
    <w:rsid w:val="004D2C1A"/>
    <w:rsid w:val="004E5291"/>
    <w:rsid w:val="004E5AAF"/>
    <w:rsid w:val="00513F05"/>
    <w:rsid w:val="00536784"/>
    <w:rsid w:val="00547BB1"/>
    <w:rsid w:val="00547CAF"/>
    <w:rsid w:val="005539FA"/>
    <w:rsid w:val="00554743"/>
    <w:rsid w:val="0058659F"/>
    <w:rsid w:val="005C29B3"/>
    <w:rsid w:val="005E3BFE"/>
    <w:rsid w:val="005F7777"/>
    <w:rsid w:val="006206CB"/>
    <w:rsid w:val="006427F9"/>
    <w:rsid w:val="00650A50"/>
    <w:rsid w:val="00667959"/>
    <w:rsid w:val="00676308"/>
    <w:rsid w:val="006807DD"/>
    <w:rsid w:val="00681259"/>
    <w:rsid w:val="00687DAA"/>
    <w:rsid w:val="006A6A52"/>
    <w:rsid w:val="006B1523"/>
    <w:rsid w:val="006D0EC4"/>
    <w:rsid w:val="006D360F"/>
    <w:rsid w:val="0072645D"/>
    <w:rsid w:val="00741E3D"/>
    <w:rsid w:val="007B7D15"/>
    <w:rsid w:val="007D7AF5"/>
    <w:rsid w:val="008213CB"/>
    <w:rsid w:val="00821FBE"/>
    <w:rsid w:val="00843262"/>
    <w:rsid w:val="0088037B"/>
    <w:rsid w:val="008965D7"/>
    <w:rsid w:val="008B6E22"/>
    <w:rsid w:val="008E4590"/>
    <w:rsid w:val="00907F6B"/>
    <w:rsid w:val="00911482"/>
    <w:rsid w:val="00922E2F"/>
    <w:rsid w:val="00933408"/>
    <w:rsid w:val="009772EB"/>
    <w:rsid w:val="009B0B97"/>
    <w:rsid w:val="009C11A4"/>
    <w:rsid w:val="009D3177"/>
    <w:rsid w:val="009E7E23"/>
    <w:rsid w:val="00A0398B"/>
    <w:rsid w:val="00A10430"/>
    <w:rsid w:val="00A40AC8"/>
    <w:rsid w:val="00A45636"/>
    <w:rsid w:val="00A75F71"/>
    <w:rsid w:val="00A94817"/>
    <w:rsid w:val="00AB3147"/>
    <w:rsid w:val="00AC62E7"/>
    <w:rsid w:val="00AD2C7B"/>
    <w:rsid w:val="00AF472F"/>
    <w:rsid w:val="00B1001F"/>
    <w:rsid w:val="00B17AEF"/>
    <w:rsid w:val="00B4630B"/>
    <w:rsid w:val="00B51C3E"/>
    <w:rsid w:val="00BE0DC3"/>
    <w:rsid w:val="00BF3921"/>
    <w:rsid w:val="00BF7348"/>
    <w:rsid w:val="00C06216"/>
    <w:rsid w:val="00C11CB8"/>
    <w:rsid w:val="00C16EDD"/>
    <w:rsid w:val="00C231BF"/>
    <w:rsid w:val="00C4261C"/>
    <w:rsid w:val="00C44494"/>
    <w:rsid w:val="00C75232"/>
    <w:rsid w:val="00C95D3D"/>
    <w:rsid w:val="00CC150E"/>
    <w:rsid w:val="00CC45AD"/>
    <w:rsid w:val="00CD4809"/>
    <w:rsid w:val="00CF2D9D"/>
    <w:rsid w:val="00CF676A"/>
    <w:rsid w:val="00D20BC3"/>
    <w:rsid w:val="00D34DAA"/>
    <w:rsid w:val="00D36BB7"/>
    <w:rsid w:val="00D5546E"/>
    <w:rsid w:val="00D65715"/>
    <w:rsid w:val="00D753A7"/>
    <w:rsid w:val="00D820F0"/>
    <w:rsid w:val="00D87257"/>
    <w:rsid w:val="00DA2E19"/>
    <w:rsid w:val="00DC2B13"/>
    <w:rsid w:val="00DD423A"/>
    <w:rsid w:val="00E70E8C"/>
    <w:rsid w:val="00E74CC2"/>
    <w:rsid w:val="00E8709C"/>
    <w:rsid w:val="00F05F04"/>
    <w:rsid w:val="00F11B16"/>
    <w:rsid w:val="00F131FF"/>
    <w:rsid w:val="00F3357C"/>
    <w:rsid w:val="00F46FEC"/>
    <w:rsid w:val="00FC0C67"/>
    <w:rsid w:val="00FC3704"/>
    <w:rsid w:val="00FC4B8A"/>
    <w:rsid w:val="00FC5DD9"/>
    <w:rsid w:val="00FC673E"/>
    <w:rsid w:val="00FD23F7"/>
    <w:rsid w:val="00FE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B1655"/>
  <w15:chartTrackingRefBased/>
  <w15:docId w15:val="{1FE7899D-2336-4EA2-9F7F-7A1E9181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43"/>
  </w:style>
  <w:style w:type="paragraph" w:styleId="Footer">
    <w:name w:val="footer"/>
    <w:basedOn w:val="Normal"/>
    <w:link w:val="FooterChar"/>
    <w:uiPriority w:val="99"/>
    <w:unhideWhenUsed/>
    <w:rsid w:val="00554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743"/>
  </w:style>
  <w:style w:type="paragraph" w:styleId="ListParagraph">
    <w:name w:val="List Paragraph"/>
    <w:basedOn w:val="Normal"/>
    <w:uiPriority w:val="34"/>
    <w:qFormat/>
    <w:rsid w:val="00554743"/>
    <w:pPr>
      <w:ind w:left="720"/>
      <w:contextualSpacing/>
    </w:pPr>
  </w:style>
  <w:style w:type="character" w:styleId="CommentReference">
    <w:name w:val="annotation reference"/>
    <w:basedOn w:val="DefaultParagraphFont"/>
    <w:uiPriority w:val="99"/>
    <w:semiHidden/>
    <w:unhideWhenUsed/>
    <w:rsid w:val="00554743"/>
    <w:rPr>
      <w:sz w:val="16"/>
      <w:szCs w:val="16"/>
    </w:rPr>
  </w:style>
  <w:style w:type="paragraph" w:styleId="CommentText">
    <w:name w:val="annotation text"/>
    <w:basedOn w:val="Normal"/>
    <w:link w:val="CommentTextChar"/>
    <w:uiPriority w:val="99"/>
    <w:semiHidden/>
    <w:unhideWhenUsed/>
    <w:rsid w:val="00554743"/>
    <w:pPr>
      <w:spacing w:line="240" w:lineRule="auto"/>
    </w:pPr>
    <w:rPr>
      <w:sz w:val="20"/>
      <w:szCs w:val="20"/>
    </w:rPr>
  </w:style>
  <w:style w:type="character" w:customStyle="1" w:styleId="CommentTextChar">
    <w:name w:val="Comment Text Char"/>
    <w:basedOn w:val="DefaultParagraphFont"/>
    <w:link w:val="CommentText"/>
    <w:uiPriority w:val="99"/>
    <w:semiHidden/>
    <w:rsid w:val="00554743"/>
    <w:rPr>
      <w:sz w:val="20"/>
      <w:szCs w:val="20"/>
    </w:rPr>
  </w:style>
  <w:style w:type="paragraph" w:styleId="CommentSubject">
    <w:name w:val="annotation subject"/>
    <w:basedOn w:val="CommentText"/>
    <w:next w:val="CommentText"/>
    <w:link w:val="CommentSubjectChar"/>
    <w:uiPriority w:val="99"/>
    <w:semiHidden/>
    <w:unhideWhenUsed/>
    <w:rsid w:val="00554743"/>
    <w:rPr>
      <w:b/>
      <w:bCs/>
    </w:rPr>
  </w:style>
  <w:style w:type="character" w:customStyle="1" w:styleId="CommentSubjectChar">
    <w:name w:val="Comment Subject Char"/>
    <w:basedOn w:val="CommentTextChar"/>
    <w:link w:val="CommentSubject"/>
    <w:uiPriority w:val="99"/>
    <w:semiHidden/>
    <w:rsid w:val="00554743"/>
    <w:rPr>
      <w:b/>
      <w:bCs/>
      <w:sz w:val="20"/>
      <w:szCs w:val="20"/>
    </w:rPr>
  </w:style>
  <w:style w:type="paragraph" w:styleId="BalloonText">
    <w:name w:val="Balloon Text"/>
    <w:basedOn w:val="Normal"/>
    <w:link w:val="BalloonTextChar"/>
    <w:uiPriority w:val="99"/>
    <w:semiHidden/>
    <w:unhideWhenUsed/>
    <w:rsid w:val="00554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43"/>
    <w:rPr>
      <w:rFonts w:ascii="Segoe UI" w:hAnsi="Segoe UI" w:cs="Segoe UI"/>
      <w:sz w:val="18"/>
      <w:szCs w:val="18"/>
    </w:rPr>
  </w:style>
  <w:style w:type="table" w:styleId="TableGrid">
    <w:name w:val="Table Grid"/>
    <w:basedOn w:val="TableNormal"/>
    <w:uiPriority w:val="39"/>
    <w:rsid w:val="0055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308"/>
    <w:rPr>
      <w:sz w:val="20"/>
      <w:szCs w:val="20"/>
    </w:rPr>
  </w:style>
  <w:style w:type="character" w:styleId="FootnoteReference">
    <w:name w:val="footnote reference"/>
    <w:basedOn w:val="DefaultParagraphFont"/>
    <w:uiPriority w:val="99"/>
    <w:semiHidden/>
    <w:unhideWhenUsed/>
    <w:rsid w:val="00676308"/>
    <w:rPr>
      <w:vertAlign w:val="superscript"/>
    </w:rPr>
  </w:style>
  <w:style w:type="character" w:styleId="Hyperlink">
    <w:name w:val="Hyperlink"/>
    <w:basedOn w:val="DefaultParagraphFont"/>
    <w:uiPriority w:val="99"/>
    <w:unhideWhenUsed/>
    <w:rsid w:val="00676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008E-B882-4F9D-B9F5-500FEA3C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 Kate</dc:creator>
  <cp:keywords/>
  <dc:description/>
  <cp:lastModifiedBy>Mertz, Kate</cp:lastModifiedBy>
  <cp:revision>2</cp:revision>
  <dcterms:created xsi:type="dcterms:W3CDTF">2018-05-14T18:47:00Z</dcterms:created>
  <dcterms:modified xsi:type="dcterms:W3CDTF">2018-05-14T18:47:00Z</dcterms:modified>
</cp:coreProperties>
</file>