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81E7" w14:textId="77777777" w:rsidR="0068079A" w:rsidRDefault="001D0A54" w:rsidP="00CF52CC">
      <w:pPr>
        <w:spacing w:after="0"/>
        <w:rPr>
          <w:rFonts w:ascii="Calibri" w:hAnsi="Calibri"/>
          <w:sz w:val="28"/>
          <w:szCs w:val="28"/>
        </w:rPr>
      </w:pPr>
      <w:r w:rsidRPr="001D0A54"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516C56" wp14:editId="16979DCB">
                <wp:simplePos x="0" y="0"/>
                <wp:positionH relativeFrom="column">
                  <wp:posOffset>2987291</wp:posOffset>
                </wp:positionH>
                <wp:positionV relativeFrom="paragraph">
                  <wp:posOffset>41910</wp:posOffset>
                </wp:positionV>
                <wp:extent cx="2659025" cy="714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0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92090" w14:textId="3AC0E400" w:rsidR="001D0A54" w:rsidRPr="00F47789" w:rsidRDefault="001D0A54" w:rsidP="00F47789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778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Timeline: </w:t>
                            </w:r>
                            <w:r w:rsidR="00F4778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RFP</w:t>
                            </w:r>
                            <w:r w:rsidRPr="00F4778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16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2pt;margin-top:3.3pt;width:209.3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" filled="f" stroked="f">
                <v:textbox>
                  <w:txbxContent>
                    <w:p w14:paraId="6A492090" w14:textId="3AC0E400" w:rsidR="001D0A54" w:rsidRPr="00F47789" w:rsidRDefault="001D0A54" w:rsidP="00F47789">
                      <w:pPr>
                        <w:spacing w:after="0" w:line="192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7789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Timeline: </w:t>
                      </w:r>
                      <w:r w:rsidR="00F47789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RFP</w:t>
                      </w:r>
                      <w:r w:rsidRPr="00F47789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9AF55B" wp14:editId="6AC35E93">
            <wp:simplePos x="0" y="0"/>
            <wp:positionH relativeFrom="margin">
              <wp:posOffset>0</wp:posOffset>
            </wp:positionH>
            <wp:positionV relativeFrom="paragraph">
              <wp:posOffset>85090</wp:posOffset>
            </wp:positionV>
            <wp:extent cx="2701925" cy="640080"/>
            <wp:effectExtent l="0" t="0" r="3175" b="7620"/>
            <wp:wrapNone/>
            <wp:docPr id="1" name="Picture 1" descr="Rhode Island Division of Purch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ode Island Division of Purchas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71"/>
                    <a:stretch/>
                  </pic:blipFill>
                  <pic:spPr bwMode="auto">
                    <a:xfrm>
                      <a:off x="0" y="0"/>
                      <a:ext cx="27019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102848" wp14:editId="5AE64E29">
                <wp:simplePos x="0" y="0"/>
                <wp:positionH relativeFrom="margin">
                  <wp:posOffset>-19050</wp:posOffset>
                </wp:positionH>
                <wp:positionV relativeFrom="paragraph">
                  <wp:posOffset>38100</wp:posOffset>
                </wp:positionV>
                <wp:extent cx="5943600" cy="709930"/>
                <wp:effectExtent l="0" t="0" r="1905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09930"/>
                        </a:xfrm>
                        <a:prstGeom prst="rect">
                          <a:avLst/>
                        </a:prstGeom>
                        <a:solidFill>
                          <a:srgbClr val="003A67"/>
                        </a:solidFill>
                        <a:ln>
                          <a:solidFill>
                            <a:srgbClr val="003A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965A" id="Rectangle 2" o:spid="_x0000_s1026" style="position:absolute;margin-left:-1.5pt;margin-top:3pt;width:468pt;height:55.9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" fillcolor="#003a67" strokecolor="#003a67" strokeweight="1pt">
                <w10:wrap anchorx="margin"/>
              </v:rect>
            </w:pict>
          </mc:Fallback>
        </mc:AlternateContent>
      </w:r>
      <w:proofErr w:type="spellStart"/>
      <w:r w:rsidR="003A5012">
        <w:rPr>
          <w:rFonts w:ascii="Calibri" w:hAnsi="Calibri"/>
          <w:sz w:val="28"/>
          <w:szCs w:val="28"/>
        </w:rPr>
        <w:t>i</w:t>
      </w:r>
      <w:proofErr w:type="spellEnd"/>
    </w:p>
    <w:p w14:paraId="65215E45" w14:textId="77777777" w:rsidR="0068079A" w:rsidRDefault="0068079A" w:rsidP="00CF52CC">
      <w:pPr>
        <w:spacing w:after="0"/>
        <w:rPr>
          <w:rFonts w:ascii="Calibri" w:hAnsi="Calibri"/>
          <w:sz w:val="28"/>
          <w:szCs w:val="28"/>
        </w:rPr>
      </w:pPr>
    </w:p>
    <w:p w14:paraId="4C2A77B9" w14:textId="77777777" w:rsidR="0046544F" w:rsidRDefault="0046544F" w:rsidP="00CF52CC">
      <w:pPr>
        <w:spacing w:after="0"/>
        <w:rPr>
          <w:rFonts w:ascii="Calibri" w:hAnsi="Calibri"/>
          <w:b/>
          <w:sz w:val="32"/>
          <w:szCs w:val="32"/>
        </w:rPr>
      </w:pPr>
    </w:p>
    <w:p w14:paraId="143FDB50" w14:textId="04F70E8C" w:rsidR="0002381F" w:rsidRPr="00AD1AEC" w:rsidRDefault="0002381F" w:rsidP="005A428B">
      <w:pPr>
        <w:spacing w:before="240" w:after="0"/>
        <w:ind w:right="180"/>
        <w:rPr>
          <w:rFonts w:ascii="Calibri" w:hAnsi="Calibri"/>
          <w:i/>
        </w:rPr>
      </w:pPr>
      <w:r w:rsidRPr="00AD1AEC">
        <w:rPr>
          <w:rFonts w:ascii="Calibri" w:hAnsi="Calibri"/>
          <w:i/>
        </w:rPr>
        <w:t xml:space="preserve">This </w:t>
      </w:r>
      <w:r w:rsidR="0046544F" w:rsidRPr="00AD1AEC">
        <w:rPr>
          <w:rFonts w:ascii="Calibri" w:hAnsi="Calibri"/>
          <w:i/>
        </w:rPr>
        <w:t>timeline</w:t>
      </w:r>
      <w:r w:rsidRPr="00AD1AEC">
        <w:rPr>
          <w:rFonts w:ascii="Calibri" w:hAnsi="Calibri"/>
          <w:i/>
        </w:rPr>
        <w:t xml:space="preserve"> is intended to </w:t>
      </w:r>
      <w:r w:rsidR="0046544F" w:rsidRPr="00AD1AEC">
        <w:rPr>
          <w:rFonts w:ascii="Calibri" w:hAnsi="Calibri"/>
          <w:i/>
        </w:rPr>
        <w:t>help</w:t>
      </w:r>
      <w:r w:rsidR="00A079AC">
        <w:rPr>
          <w:rFonts w:ascii="Calibri" w:hAnsi="Calibri"/>
          <w:i/>
        </w:rPr>
        <w:t xml:space="preserve"> RI </w:t>
      </w:r>
      <w:r w:rsidR="001D0A54" w:rsidRPr="00AD1AEC">
        <w:rPr>
          <w:rFonts w:ascii="Calibri" w:hAnsi="Calibri"/>
          <w:i/>
        </w:rPr>
        <w:t>s</w:t>
      </w:r>
      <w:r w:rsidRPr="00AD1AEC">
        <w:rPr>
          <w:rFonts w:ascii="Calibri" w:hAnsi="Calibri"/>
          <w:i/>
        </w:rPr>
        <w:t xml:space="preserve">tate agencies </w:t>
      </w:r>
      <w:r w:rsidR="0046544F" w:rsidRPr="00AD1AEC">
        <w:rPr>
          <w:rFonts w:ascii="Calibri" w:hAnsi="Calibri"/>
          <w:i/>
        </w:rPr>
        <w:t>plan for and execute</w:t>
      </w:r>
      <w:r w:rsidRPr="00AD1AEC">
        <w:rPr>
          <w:rFonts w:ascii="Calibri" w:hAnsi="Calibri"/>
          <w:i/>
        </w:rPr>
        <w:t xml:space="preserve"> the Request for Proposal</w:t>
      </w:r>
      <w:r w:rsidR="000E5B27" w:rsidRPr="00AD1AEC">
        <w:rPr>
          <w:rFonts w:ascii="Calibri" w:hAnsi="Calibri"/>
          <w:i/>
        </w:rPr>
        <w:t>s</w:t>
      </w:r>
      <w:r w:rsidRPr="00AD1AEC">
        <w:rPr>
          <w:rFonts w:ascii="Calibri" w:hAnsi="Calibri"/>
          <w:i/>
        </w:rPr>
        <w:t xml:space="preserve"> (RFP) procurement process, from identifying the need for a procurement to</w:t>
      </w:r>
      <w:r w:rsidR="0046544F" w:rsidRPr="00AD1AEC">
        <w:rPr>
          <w:rFonts w:ascii="Calibri" w:hAnsi="Calibri"/>
          <w:i/>
        </w:rPr>
        <w:t xml:space="preserve"> the </w:t>
      </w:r>
      <w:r w:rsidR="00BF6ABE">
        <w:rPr>
          <w:rFonts w:ascii="Calibri" w:hAnsi="Calibri"/>
          <w:i/>
        </w:rPr>
        <w:t>issuance</w:t>
      </w:r>
      <w:r w:rsidR="0046544F" w:rsidRPr="00AD1AEC">
        <w:rPr>
          <w:rFonts w:ascii="Calibri" w:hAnsi="Calibri"/>
          <w:i/>
        </w:rPr>
        <w:t xml:space="preserve"> of a purchase order.</w:t>
      </w:r>
      <w:r w:rsidR="00D657E4">
        <w:rPr>
          <w:rFonts w:ascii="Calibri" w:hAnsi="Calibri"/>
          <w:i/>
        </w:rPr>
        <w:t xml:space="preserve"> </w:t>
      </w:r>
      <w:r w:rsidR="005B4A68" w:rsidRPr="00AD1AEC">
        <w:rPr>
          <w:rFonts w:ascii="Calibri" w:hAnsi="Calibri"/>
          <w:i/>
        </w:rPr>
        <w:t>For more procurement resources, access the</w:t>
      </w:r>
      <w:r w:rsidR="003D6135" w:rsidRPr="00A45D6A">
        <w:rPr>
          <w:rFonts w:ascii="Calibri" w:eastAsia="Times New Roman" w:hAnsi="Calibri" w:cs="Segoe UI"/>
          <w:i/>
        </w:rPr>
        <w:t xml:space="preserve"> </w:t>
      </w:r>
      <w:hyperlink r:id="rId9" w:history="1">
        <w:r w:rsidR="003D6135" w:rsidRPr="00987E5A">
          <w:rPr>
            <w:rStyle w:val="Hyperlink"/>
            <w:rFonts w:ascii="Calibri" w:eastAsia="Times New Roman" w:hAnsi="Calibri" w:cs="Segoe UI"/>
            <w:i/>
          </w:rPr>
          <w:t xml:space="preserve">Procurement Campus </w:t>
        </w:r>
      </w:hyperlink>
      <w:r w:rsidR="003D6135" w:rsidRPr="00A45D6A">
        <w:rPr>
          <w:i/>
        </w:rPr>
        <w:t xml:space="preserve">on the Division of Purchases website </w:t>
      </w:r>
      <w:r w:rsidR="004035ED">
        <w:rPr>
          <w:i/>
        </w:rPr>
        <w:t xml:space="preserve">which </w:t>
      </w:r>
      <w:r w:rsidR="003D6135" w:rsidRPr="00A45D6A">
        <w:rPr>
          <w:rFonts w:ascii="Calibri" w:eastAsia="Times New Roman" w:hAnsi="Calibri" w:cs="Segoe UI"/>
          <w:i/>
        </w:rPr>
        <w:t>provides procurement courses and resources that are arranged in curriculum by procurement roles. PROC 301 includes the materials that you may find helpful during the procurem</w:t>
      </w:r>
      <w:r w:rsidR="003D6135" w:rsidRPr="00A45D6A">
        <w:rPr>
          <w:i/>
        </w:rPr>
        <w:t>ent process</w:t>
      </w:r>
      <w:r w:rsidR="003D6135">
        <w:rPr>
          <w:i/>
        </w:rPr>
        <w:t xml:space="preserve">. </w:t>
      </w:r>
      <w:r w:rsidR="003D6135" w:rsidRPr="00A45D6A">
        <w:rPr>
          <w:i/>
        </w:rPr>
        <w:t xml:space="preserve">Note that if you know the name of the </w:t>
      </w:r>
      <w:r w:rsidR="003D6135">
        <w:rPr>
          <w:i/>
        </w:rPr>
        <w:t>documents</w:t>
      </w:r>
      <w:r w:rsidR="003D6135" w:rsidRPr="00A45D6A">
        <w:rPr>
          <w:i/>
        </w:rPr>
        <w:t xml:space="preserve"> you are looking for</w:t>
      </w:r>
      <w:r w:rsidR="003D6135">
        <w:rPr>
          <w:i/>
        </w:rPr>
        <w:t xml:space="preserve"> you can</w:t>
      </w:r>
      <w:r w:rsidR="003D6135" w:rsidRPr="00A45D6A">
        <w:rPr>
          <w:i/>
        </w:rPr>
        <w:t xml:space="preserve"> get them quickly at the </w:t>
      </w:r>
      <w:hyperlink r:id="rId10" w:history="1">
        <w:r w:rsidR="003D6135" w:rsidRPr="00A45D6A">
          <w:rPr>
            <w:rStyle w:val="Hyperlink"/>
            <w:i/>
          </w:rPr>
          <w:t>Agency Procu</w:t>
        </w:r>
        <w:r w:rsidR="003D6135" w:rsidRPr="00A45D6A">
          <w:rPr>
            <w:rStyle w:val="Hyperlink"/>
            <w:rFonts w:ascii="Calibri" w:eastAsia="Times New Roman" w:hAnsi="Calibri" w:cs="Segoe UI"/>
            <w:i/>
          </w:rPr>
          <w:t>rement Library</w:t>
        </w:r>
      </w:hyperlink>
      <w:r w:rsidR="003D6135" w:rsidRPr="00A45D6A">
        <w:rPr>
          <w:rFonts w:ascii="Calibri" w:eastAsia="Times New Roman" w:hAnsi="Calibri" w:cs="Segoe UI"/>
          <w:i/>
        </w:rPr>
        <w:t>, where they are catalogued in alphabetic order.</w:t>
      </w:r>
      <w:r w:rsidR="005B4A68" w:rsidRPr="00AD1AEC">
        <w:rPr>
          <w:rFonts w:ascii="Calibri" w:hAnsi="Calibri"/>
          <w:i/>
        </w:rPr>
        <w:t xml:space="preserve"> For further questions, contact the Division of Purchases at (401) 574-8100.</w:t>
      </w:r>
    </w:p>
    <w:p w14:paraId="0CAF66F2" w14:textId="0FAA1B5C" w:rsidR="00590096" w:rsidRDefault="00A079AC" w:rsidP="0023016D">
      <w:pPr>
        <w:spacing w:before="360" w:after="120" w:line="240" w:lineRule="auto"/>
        <w:ind w:left="187" w:right="187"/>
        <w:rPr>
          <w:rFonts w:ascii="Calibri" w:eastAsia="Times New Roman" w:hAnsi="Calibri" w:cs="Segoe UI"/>
        </w:rPr>
      </w:pPr>
      <w:r w:rsidRPr="00A079AC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F8113B9" wp14:editId="4A41151E">
                <wp:simplePos x="0" y="0"/>
                <wp:positionH relativeFrom="margin">
                  <wp:align>right</wp:align>
                </wp:positionH>
                <wp:positionV relativeFrom="paragraph">
                  <wp:posOffset>137161</wp:posOffset>
                </wp:positionV>
                <wp:extent cx="5943600" cy="1866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3A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7161E" id="Rectangle 3" o:spid="_x0000_s1026" style="position:absolute;margin-left:416.8pt;margin-top:10.8pt;width:468pt;height:147pt;z-index:-2516602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" fillcolor="#f2f2f2 [3052]" strokecolor="#003a67" strokeweight="1pt">
                <w10:wrap anchorx="margin"/>
              </v:rect>
            </w:pict>
          </mc:Fallback>
        </mc:AlternateContent>
      </w:r>
      <w:r w:rsidRPr="00A079AC">
        <w:rPr>
          <w:rFonts w:ascii="Calibri" w:hAnsi="Calibri"/>
          <w:b/>
          <w:noProof/>
          <w:u w:val="single"/>
        </w:rPr>
        <w:t>Start</w:t>
      </w:r>
      <w:r w:rsidR="007101CE" w:rsidRPr="00A079AC">
        <w:rPr>
          <w:rFonts w:ascii="Calibri" w:eastAsia="Times New Roman" w:hAnsi="Calibri" w:cs="Segoe UI"/>
          <w:b/>
          <w:u w:val="single"/>
        </w:rPr>
        <w:t xml:space="preserve"> early</w:t>
      </w:r>
      <w:r w:rsidR="007101CE" w:rsidRPr="00320248">
        <w:rPr>
          <w:rFonts w:ascii="Calibri" w:eastAsia="Times New Roman" w:hAnsi="Calibri" w:cs="Segoe UI"/>
          <w:b/>
        </w:rPr>
        <w:t>!</w:t>
      </w:r>
      <w:r w:rsidR="0023016D">
        <w:rPr>
          <w:rFonts w:ascii="Calibri" w:eastAsia="Times New Roman" w:hAnsi="Calibri" w:cs="Segoe UI"/>
          <w:b/>
        </w:rPr>
        <w:t xml:space="preserve">  </w:t>
      </w:r>
      <w:r w:rsidR="007101CE" w:rsidRPr="007F3A10">
        <w:rPr>
          <w:rFonts w:ascii="Calibri" w:eastAsia="Times New Roman" w:hAnsi="Calibri" w:cs="Segoe UI"/>
        </w:rPr>
        <w:t>Critical procurements</w:t>
      </w:r>
      <w:r w:rsidR="00007C71">
        <w:rPr>
          <w:rFonts w:ascii="Calibri" w:eastAsia="Times New Roman" w:hAnsi="Calibri" w:cs="Segoe UI"/>
        </w:rPr>
        <w:t xml:space="preserve"> </w:t>
      </w:r>
      <w:r w:rsidR="000B356C" w:rsidRPr="007F3A10">
        <w:rPr>
          <w:rFonts w:ascii="Calibri" w:eastAsia="Times New Roman" w:hAnsi="Calibri" w:cs="Segoe UI"/>
        </w:rPr>
        <w:t xml:space="preserve">require nuanced thinking up front about what your team really needs, what </w:t>
      </w:r>
      <w:r w:rsidR="008C1418" w:rsidRPr="007F3A10">
        <w:rPr>
          <w:rFonts w:ascii="Calibri" w:eastAsia="Times New Roman" w:hAnsi="Calibri" w:cs="Segoe UI"/>
        </w:rPr>
        <w:t>type</w:t>
      </w:r>
      <w:r w:rsidR="000B356C" w:rsidRPr="007F3A10">
        <w:rPr>
          <w:rFonts w:ascii="Calibri" w:eastAsia="Times New Roman" w:hAnsi="Calibri" w:cs="Segoe UI"/>
        </w:rPr>
        <w:t xml:space="preserve"> of procurement best suits those</w:t>
      </w:r>
      <w:r w:rsidR="001130ED" w:rsidRPr="007F3A10">
        <w:rPr>
          <w:rFonts w:ascii="Calibri" w:eastAsia="Times New Roman" w:hAnsi="Calibri" w:cs="Segoe UI"/>
        </w:rPr>
        <w:t xml:space="preserve"> needs</w:t>
      </w:r>
      <w:r w:rsidR="000B356C" w:rsidRPr="007F3A10">
        <w:rPr>
          <w:rFonts w:ascii="Calibri" w:eastAsia="Times New Roman" w:hAnsi="Calibri" w:cs="Segoe UI"/>
        </w:rPr>
        <w:t>, and what solutions exist in the marketplace.</w:t>
      </w:r>
      <w:r w:rsidR="00D269BE" w:rsidRPr="007F3A10">
        <w:rPr>
          <w:rFonts w:ascii="Calibri" w:eastAsia="Times New Roman" w:hAnsi="Calibri" w:cs="Segoe UI"/>
        </w:rPr>
        <w:t xml:space="preserve"> </w:t>
      </w:r>
      <w:r w:rsidR="00C062C6" w:rsidRPr="007F3A10">
        <w:rPr>
          <w:rFonts w:ascii="Calibri" w:eastAsia="Times New Roman" w:hAnsi="Calibri" w:cs="Segoe UI"/>
        </w:rPr>
        <w:t xml:space="preserve">Doing this </w:t>
      </w:r>
      <w:r w:rsidR="001639DF">
        <w:rPr>
          <w:rFonts w:ascii="Calibri" w:eastAsia="Times New Roman" w:hAnsi="Calibri" w:cs="Segoe UI"/>
        </w:rPr>
        <w:t>work up front means that the procurement</w:t>
      </w:r>
      <w:r w:rsidR="00B40843">
        <w:rPr>
          <w:rFonts w:ascii="Calibri" w:eastAsia="Times New Roman" w:hAnsi="Calibri" w:cs="Segoe UI"/>
        </w:rPr>
        <w:t xml:space="preserve"> process itself </w:t>
      </w:r>
      <w:r w:rsidR="002657B4" w:rsidRPr="007F3A10">
        <w:rPr>
          <w:rFonts w:ascii="Calibri" w:eastAsia="Times New Roman" w:hAnsi="Calibri" w:cs="Segoe UI"/>
        </w:rPr>
        <w:t xml:space="preserve">will move more </w:t>
      </w:r>
      <w:r w:rsidR="00C062C6" w:rsidRPr="007F3A10">
        <w:rPr>
          <w:rFonts w:ascii="Calibri" w:eastAsia="Times New Roman" w:hAnsi="Calibri" w:cs="Segoe UI"/>
        </w:rPr>
        <w:t xml:space="preserve">smoothly. </w:t>
      </w:r>
      <w:r w:rsidR="00D269BE" w:rsidRPr="007F3A10">
        <w:rPr>
          <w:rFonts w:ascii="Calibri" w:eastAsia="Times New Roman" w:hAnsi="Calibri" w:cs="Segoe UI"/>
        </w:rPr>
        <w:t>The Division of Purchases recom</w:t>
      </w:r>
      <w:r w:rsidR="00C1220A">
        <w:rPr>
          <w:rFonts w:ascii="Calibri" w:eastAsia="Times New Roman" w:hAnsi="Calibri" w:cs="Segoe UI"/>
        </w:rPr>
        <w:t xml:space="preserve">mends that your team begin the </w:t>
      </w:r>
      <w:r w:rsidR="001D0A54">
        <w:rPr>
          <w:rFonts w:ascii="Calibri" w:eastAsia="Times New Roman" w:hAnsi="Calibri" w:cs="Segoe UI"/>
        </w:rPr>
        <w:t>RFP process</w:t>
      </w:r>
      <w:r w:rsidR="00D269BE" w:rsidRPr="007F3A10">
        <w:rPr>
          <w:rFonts w:ascii="Calibri" w:eastAsia="Times New Roman" w:hAnsi="Calibri" w:cs="Segoe UI"/>
        </w:rPr>
        <w:t xml:space="preserve"> </w:t>
      </w:r>
      <w:r w:rsidR="00D269BE" w:rsidRPr="007F3A10">
        <w:rPr>
          <w:rFonts w:ascii="Calibri" w:eastAsia="Times New Roman" w:hAnsi="Calibri" w:cs="Segoe UI"/>
          <w:i/>
        </w:rPr>
        <w:t xml:space="preserve">at least </w:t>
      </w:r>
      <w:r w:rsidR="00A341C7" w:rsidRPr="007F3A10">
        <w:rPr>
          <w:rFonts w:ascii="Calibri" w:eastAsia="Times New Roman" w:hAnsi="Calibri" w:cs="Segoe UI"/>
          <w:i/>
        </w:rPr>
        <w:t>nine</w:t>
      </w:r>
      <w:r w:rsidR="00D269BE" w:rsidRPr="007F3A10">
        <w:rPr>
          <w:rFonts w:ascii="Calibri" w:eastAsia="Times New Roman" w:hAnsi="Calibri" w:cs="Segoe UI"/>
          <w:i/>
        </w:rPr>
        <w:t xml:space="preserve"> months prior to your desired contract signing date</w:t>
      </w:r>
      <w:r w:rsidR="00A341C7" w:rsidRPr="007F3A10">
        <w:rPr>
          <w:rFonts w:ascii="Calibri" w:eastAsia="Times New Roman" w:hAnsi="Calibri" w:cs="Segoe UI"/>
        </w:rPr>
        <w:t>.</w:t>
      </w:r>
      <w:r w:rsidR="00BF6ABE">
        <w:rPr>
          <w:rFonts w:ascii="Calibri" w:eastAsia="Times New Roman" w:hAnsi="Calibri" w:cs="Segoe UI"/>
        </w:rPr>
        <w:t xml:space="preserve"> </w:t>
      </w:r>
      <w:r w:rsidR="00B40843">
        <w:rPr>
          <w:rFonts w:ascii="Calibri" w:eastAsia="Times New Roman" w:hAnsi="Calibri" w:cs="Segoe UI"/>
        </w:rPr>
        <w:t>Y</w:t>
      </w:r>
      <w:r w:rsidR="00BF6ABE">
        <w:rPr>
          <w:rFonts w:ascii="Calibri" w:eastAsia="Times New Roman" w:hAnsi="Calibri" w:cs="Segoe UI"/>
        </w:rPr>
        <w:t>ou may need to plan additional time for projects that are large or complex, require transition periods between vendors, or will involve additional parties such as consultants or advisors.</w:t>
      </w:r>
    </w:p>
    <w:p w14:paraId="362546F4" w14:textId="45E55EFA" w:rsidR="00A079AC" w:rsidRPr="00A079AC" w:rsidRDefault="00A079AC" w:rsidP="00A079AC">
      <w:pPr>
        <w:spacing w:before="240" w:after="0" w:line="240" w:lineRule="auto"/>
        <w:ind w:left="187" w:right="187"/>
        <w:rPr>
          <w:rFonts w:ascii="Calibri" w:eastAsia="Times New Roman" w:hAnsi="Calibri" w:cs="Segoe UI"/>
        </w:rPr>
      </w:pPr>
      <w:r w:rsidRPr="00A079AC">
        <w:rPr>
          <w:rFonts w:ascii="Calibri" w:eastAsia="Times New Roman" w:hAnsi="Calibri" w:cs="Segoe UI"/>
          <w:b/>
          <w:u w:val="single"/>
        </w:rPr>
        <w:t>Start at the end</w:t>
      </w:r>
      <w:r>
        <w:rPr>
          <w:rFonts w:ascii="Calibri" w:eastAsia="Times New Roman" w:hAnsi="Calibri" w:cs="Segoe UI"/>
          <w:b/>
        </w:rPr>
        <w:t>!</w:t>
      </w:r>
      <w:r w:rsidRPr="00A079AC">
        <w:rPr>
          <w:rFonts w:ascii="Calibri" w:eastAsia="Times New Roman" w:hAnsi="Calibri" w:cs="Segoe UI"/>
        </w:rPr>
        <w:t xml:space="preserve"> </w:t>
      </w:r>
      <w:r w:rsidRPr="00A079AC">
        <w:rPr>
          <w:rFonts w:ascii="Calibri" w:hAnsi="Calibri"/>
        </w:rPr>
        <w:t xml:space="preserve">It </w:t>
      </w:r>
      <w:r>
        <w:rPr>
          <w:rFonts w:ascii="Calibri" w:hAnsi="Calibri"/>
        </w:rPr>
        <w:t>will</w:t>
      </w:r>
      <w:r w:rsidRPr="00A079AC">
        <w:rPr>
          <w:rFonts w:ascii="Calibri" w:hAnsi="Calibri"/>
        </w:rPr>
        <w:t xml:space="preserve"> be most helpful to fill out this timeline backward, beginning with the date you desire work related to this contract to begin.</w:t>
      </w:r>
    </w:p>
    <w:p w14:paraId="510D028C" w14:textId="643F3A86" w:rsidR="001D0A54" w:rsidRDefault="001D0A54" w:rsidP="0002381F">
      <w:pPr>
        <w:spacing w:after="0" w:line="240" w:lineRule="auto"/>
        <w:ind w:left="180" w:right="180"/>
        <w:contextualSpacing/>
        <w:rPr>
          <w:rFonts w:ascii="Calibri" w:eastAsia="Times New Roman" w:hAnsi="Calibri" w:cs="Segoe UI"/>
          <w:i/>
        </w:rPr>
      </w:pPr>
    </w:p>
    <w:p w14:paraId="68B515B9" w14:textId="77777777" w:rsidR="00452CC4" w:rsidRPr="007F3A10" w:rsidRDefault="00452CC4" w:rsidP="0002381F">
      <w:pPr>
        <w:spacing w:after="0" w:line="240" w:lineRule="auto"/>
        <w:ind w:left="180" w:right="180"/>
        <w:contextualSpacing/>
        <w:rPr>
          <w:rFonts w:ascii="Calibri" w:eastAsia="Times New Roman" w:hAnsi="Calibri" w:cs="Segoe UI"/>
          <w:i/>
        </w:rPr>
      </w:pPr>
    </w:p>
    <w:tbl>
      <w:tblPr>
        <w:tblStyle w:val="TableGrid"/>
        <w:tblW w:w="9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70"/>
        <w:gridCol w:w="7344"/>
      </w:tblGrid>
      <w:tr w:rsidR="00C440AF" w:rsidRPr="002E54D0" w14:paraId="2B5D1596" w14:textId="77777777" w:rsidTr="008D1AAB">
        <w:trPr>
          <w:trHeight w:val="738"/>
        </w:trPr>
        <w:tc>
          <w:tcPr>
            <w:tcW w:w="1800" w:type="dxa"/>
            <w:shd w:val="clear" w:color="auto" w:fill="BDD6EE" w:themeFill="accent1" w:themeFillTint="66"/>
            <w:vAlign w:val="center"/>
          </w:tcPr>
          <w:p w14:paraId="0EEDB27D" w14:textId="517166AF" w:rsidR="00C440AF" w:rsidRPr="00C440AF" w:rsidRDefault="00C440AF" w:rsidP="00C440AF">
            <w:pPr>
              <w:jc w:val="center"/>
              <w:rPr>
                <w:rFonts w:ascii="Calibri" w:hAnsi="Calibri"/>
                <w:b/>
              </w:rPr>
            </w:pPr>
            <w:r w:rsidRPr="00C440AF">
              <w:rPr>
                <w:rFonts w:ascii="Calibri" w:hAnsi="Calibri"/>
                <w:b/>
              </w:rPr>
              <w:t>Date</w:t>
            </w:r>
          </w:p>
          <w:p w14:paraId="4BE20212" w14:textId="0C728B46" w:rsidR="00C440AF" w:rsidRPr="00C440AF" w:rsidRDefault="00C440AF" w:rsidP="00C440AF">
            <w:pPr>
              <w:jc w:val="center"/>
              <w:rPr>
                <w:rFonts w:ascii="Calibri" w:hAnsi="Calibri"/>
                <w:b/>
              </w:rPr>
            </w:pPr>
            <w:r w:rsidRPr="00C440AF">
              <w:rPr>
                <w:rFonts w:ascii="Calibri" w:hAnsi="Calibri"/>
                <w:b/>
              </w:rPr>
              <w:t>to be completed</w:t>
            </w:r>
          </w:p>
        </w:tc>
        <w:tc>
          <w:tcPr>
            <w:tcW w:w="270" w:type="dxa"/>
            <w:shd w:val="clear" w:color="auto" w:fill="BDD6EE" w:themeFill="accent1" w:themeFillTint="66"/>
          </w:tcPr>
          <w:p w14:paraId="65253B5B" w14:textId="77777777" w:rsidR="00C440AF" w:rsidRPr="00C440AF" w:rsidRDefault="00C440AF" w:rsidP="00C440AF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  <w:shd w:val="clear" w:color="auto" w:fill="BDD6EE" w:themeFill="accent1" w:themeFillTint="66"/>
            <w:vAlign w:val="center"/>
          </w:tcPr>
          <w:p w14:paraId="38763F09" w14:textId="7A247EE6" w:rsidR="00C440AF" w:rsidRPr="00C440AF" w:rsidRDefault="00C440AF" w:rsidP="00C440AF">
            <w:pPr>
              <w:rPr>
                <w:rFonts w:ascii="Calibri" w:hAnsi="Calibri"/>
                <w:b/>
              </w:rPr>
            </w:pPr>
            <w:r w:rsidRPr="00C440AF">
              <w:rPr>
                <w:rFonts w:ascii="Calibri" w:hAnsi="Calibri"/>
                <w:b/>
              </w:rPr>
              <w:t>Tasks to complete</w:t>
            </w:r>
          </w:p>
        </w:tc>
      </w:tr>
      <w:tr w:rsidR="008D1AAB" w:rsidRPr="002E54D0" w14:paraId="2E8AC938" w14:textId="77777777" w:rsidTr="00452CC4">
        <w:tc>
          <w:tcPr>
            <w:tcW w:w="1800" w:type="dxa"/>
            <w:tcBorders>
              <w:bottom w:val="single" w:sz="4" w:space="0" w:color="auto"/>
            </w:tcBorders>
          </w:tcPr>
          <w:p w14:paraId="5F359754" w14:textId="77777777" w:rsidR="008D1AAB" w:rsidRDefault="008D1AAB" w:rsidP="00007C71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70" w:type="dxa"/>
          </w:tcPr>
          <w:p w14:paraId="25FB503A" w14:textId="77777777" w:rsidR="008D1AAB" w:rsidRDefault="008D1AAB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35418B53" w14:textId="78BA27DA" w:rsidR="00CE45B2" w:rsidRPr="00F42277" w:rsidRDefault="008D1AAB" w:rsidP="00F42277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Identify those individuals that will lead the development of the RFP</w:t>
            </w:r>
            <w:r w:rsidR="00F42277">
              <w:rPr>
                <w:rFonts w:ascii="Calibri" w:hAnsi="Calibri"/>
                <w:b/>
              </w:rPr>
              <w:t>.</w:t>
            </w:r>
            <w:r w:rsidR="00CE45B2">
              <w:rPr>
                <w:rFonts w:ascii="Calibri" w:hAnsi="Calibri"/>
              </w:rPr>
              <w:t xml:space="preserve"> </w:t>
            </w:r>
          </w:p>
        </w:tc>
      </w:tr>
      <w:tr w:rsidR="00452CC4" w:rsidRPr="002E54D0" w14:paraId="68DF3C08" w14:textId="77777777" w:rsidTr="00452CC4">
        <w:tc>
          <w:tcPr>
            <w:tcW w:w="1800" w:type="dxa"/>
            <w:tcBorders>
              <w:top w:val="single" w:sz="4" w:space="0" w:color="auto"/>
            </w:tcBorders>
          </w:tcPr>
          <w:p w14:paraId="0A27E846" w14:textId="77777777" w:rsidR="00452CC4" w:rsidRDefault="00452CC4" w:rsidP="00007C71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70" w:type="dxa"/>
          </w:tcPr>
          <w:p w14:paraId="38067DB4" w14:textId="77777777" w:rsidR="00452CC4" w:rsidRDefault="00452CC4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6C1125AD" w14:textId="18F49B40" w:rsidR="00452CC4" w:rsidRPr="00452CC4" w:rsidRDefault="008B57B4" w:rsidP="008B57B4">
            <w:pPr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additional time into this timeline to secure outside resources such as c</w:t>
            </w:r>
            <w:r w:rsidR="00452CC4">
              <w:rPr>
                <w:rFonts w:ascii="Calibri" w:hAnsi="Calibri"/>
              </w:rPr>
              <w:t xml:space="preserve">onsultants, other advisors, or external funding. </w:t>
            </w:r>
          </w:p>
        </w:tc>
      </w:tr>
      <w:tr w:rsidR="00C440AF" w:rsidRPr="002E54D0" w14:paraId="18DA0685" w14:textId="77777777" w:rsidTr="00452CC4">
        <w:tc>
          <w:tcPr>
            <w:tcW w:w="1800" w:type="dxa"/>
            <w:tcBorders>
              <w:bottom w:val="single" w:sz="4" w:space="0" w:color="auto"/>
            </w:tcBorders>
          </w:tcPr>
          <w:p w14:paraId="7B279C55" w14:textId="299C7D3F" w:rsidR="00C440AF" w:rsidRPr="001D0A54" w:rsidRDefault="00C440AF" w:rsidP="00007C71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br w:type="page"/>
            </w:r>
          </w:p>
        </w:tc>
        <w:tc>
          <w:tcPr>
            <w:tcW w:w="270" w:type="dxa"/>
          </w:tcPr>
          <w:p w14:paraId="539DE790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39A5632A" w14:textId="6063115C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Complete needs assessment and identify outstanding policy and procurement strategy questions.</w:t>
            </w:r>
          </w:p>
        </w:tc>
      </w:tr>
      <w:tr w:rsidR="00C440AF" w:rsidRPr="002E54D0" w14:paraId="572415C4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7F38E1FF" w14:textId="77777777" w:rsidR="00C440AF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28062C7A" w14:textId="77777777" w:rsidR="00C440AF" w:rsidRPr="00007C71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4442F0FE" w14:textId="12F271A7" w:rsidR="00C440AF" w:rsidRPr="001D0A54" w:rsidRDefault="00C440AF" w:rsidP="002F0B9C">
            <w:pPr>
              <w:ind w:left="346"/>
              <w:rPr>
                <w:rFonts w:ascii="Calibri" w:hAnsi="Calibri"/>
                <w:i/>
              </w:rPr>
            </w:pPr>
            <w:r w:rsidRPr="00007C71">
              <w:rPr>
                <w:rFonts w:ascii="Calibri" w:hAnsi="Calibri"/>
              </w:rPr>
              <w:t xml:space="preserve">Identify important questions around the procurement strategy and related policy. Complete </w:t>
            </w:r>
            <w:r>
              <w:rPr>
                <w:rFonts w:ascii="Calibri" w:hAnsi="Calibri"/>
              </w:rPr>
              <w:t xml:space="preserve">the </w:t>
            </w:r>
            <w:r w:rsidR="00AD1AEC">
              <w:rPr>
                <w:rFonts w:ascii="Calibri" w:hAnsi="Calibri"/>
              </w:rPr>
              <w:t xml:space="preserve">Needs Assessment Worksheet, available </w:t>
            </w:r>
            <w:r w:rsidR="002F0B9C">
              <w:rPr>
                <w:rFonts w:ascii="Calibri" w:hAnsi="Calibri"/>
              </w:rPr>
              <w:t>at</w:t>
            </w:r>
            <w:r w:rsidR="00AD1AEC">
              <w:rPr>
                <w:rFonts w:ascii="Calibri" w:hAnsi="Calibri"/>
              </w:rPr>
              <w:t xml:space="preserve"> the</w:t>
            </w:r>
            <w:r w:rsidR="002F0B9C">
              <w:rPr>
                <w:rFonts w:ascii="Calibri" w:hAnsi="Calibri"/>
              </w:rPr>
              <w:t xml:space="preserve"> </w:t>
            </w:r>
            <w:hyperlink r:id="rId11" w:history="1">
              <w:r w:rsidR="002F0B9C" w:rsidRPr="00A45D6A">
                <w:rPr>
                  <w:rStyle w:val="Hyperlink"/>
                  <w:i/>
                </w:rPr>
                <w:t>Agency Procu</w:t>
              </w:r>
              <w:r w:rsidR="002F0B9C" w:rsidRPr="00A45D6A">
                <w:rPr>
                  <w:rStyle w:val="Hyperlink"/>
                  <w:rFonts w:ascii="Calibri" w:eastAsia="Times New Roman" w:hAnsi="Calibri" w:cs="Segoe UI"/>
                  <w:i/>
                </w:rPr>
                <w:t>rement Library</w:t>
              </w:r>
            </w:hyperlink>
            <w:r w:rsidR="002F0B9C">
              <w:rPr>
                <w:rStyle w:val="Hyperlink"/>
                <w:rFonts w:ascii="Calibri" w:eastAsia="Times New Roman" w:hAnsi="Calibri" w:cs="Segoe UI"/>
                <w:i/>
              </w:rPr>
              <w:t>.</w:t>
            </w:r>
            <w:r w:rsidR="002370F2">
              <w:rPr>
                <w:rFonts w:ascii="Calibri" w:hAnsi="Calibri"/>
                <w:i/>
              </w:rPr>
              <w:t xml:space="preserve"> S</w:t>
            </w:r>
            <w:r>
              <w:rPr>
                <w:rFonts w:ascii="Calibri" w:hAnsi="Calibri"/>
                <w:i/>
              </w:rPr>
              <w:t>uggested timeframe: 2-4 weeks to complete</w:t>
            </w:r>
            <w:r w:rsidR="00BF6ABE">
              <w:rPr>
                <w:rFonts w:ascii="Calibri" w:hAnsi="Calibri"/>
                <w:i/>
              </w:rPr>
              <w:t xml:space="preserve"> needs assessment</w:t>
            </w:r>
            <w:r>
              <w:rPr>
                <w:rFonts w:ascii="Calibri" w:hAnsi="Calibri"/>
                <w:i/>
              </w:rPr>
              <w:t>, with longer time frames for more complex procurements.</w:t>
            </w:r>
          </w:p>
        </w:tc>
      </w:tr>
      <w:tr w:rsidR="00C440AF" w:rsidRPr="002E54D0" w14:paraId="60E53A68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1E63E3B6" w14:textId="5026C37A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623BEE27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792378FB" w14:textId="0FE513F9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Resolve policy questions and finalize procurement strategy</w:t>
            </w:r>
          </w:p>
        </w:tc>
      </w:tr>
      <w:tr w:rsidR="00C440AF" w:rsidRPr="002E54D0" w14:paraId="2A7B6FE7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54FE801F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2C773ED4" w14:textId="77777777" w:rsidR="00C440AF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42860505" w14:textId="52938568" w:rsidR="00C440AF" w:rsidRPr="001D0A54" w:rsidRDefault="00C440AF" w:rsidP="00BF6ABE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At least 4 weeks to </w:t>
            </w:r>
            <w:r w:rsidR="00BF6ABE">
              <w:rPr>
                <w:rFonts w:ascii="Calibri" w:hAnsi="Calibri"/>
                <w:i/>
              </w:rPr>
              <w:t>resolve policy questions and finalize strategy</w:t>
            </w:r>
            <w:r>
              <w:rPr>
                <w:rFonts w:ascii="Calibri" w:hAnsi="Calibri"/>
                <w:i/>
              </w:rPr>
              <w:t>, with longer time frames for more complex procurements.</w:t>
            </w:r>
          </w:p>
        </w:tc>
      </w:tr>
      <w:tr w:rsidR="00C440AF" w:rsidRPr="002E54D0" w14:paraId="453F7F13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5C80B7A6" w14:textId="258F3216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492971AF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51124720" w14:textId="75B202FC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Draft an RFP and template contract</w:t>
            </w:r>
          </w:p>
        </w:tc>
      </w:tr>
      <w:tr w:rsidR="00C440AF" w:rsidRPr="002E54D0" w14:paraId="097D7D78" w14:textId="77777777" w:rsidTr="00C440AF">
        <w:trPr>
          <w:trHeight w:val="207"/>
        </w:trPr>
        <w:tc>
          <w:tcPr>
            <w:tcW w:w="1800" w:type="dxa"/>
            <w:tcBorders>
              <w:top w:val="single" w:sz="4" w:space="0" w:color="auto"/>
            </w:tcBorders>
          </w:tcPr>
          <w:p w14:paraId="2FFADDAF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213C2FF8" w14:textId="77777777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4AE71331" w14:textId="0DA34642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  <w:r w:rsidRPr="001C0878">
              <w:rPr>
                <w:rFonts w:ascii="Calibri" w:hAnsi="Calibri"/>
              </w:rPr>
              <w:t>Complete the RFP Development Worksheet</w:t>
            </w:r>
            <w:r w:rsidR="008B57B4" w:rsidRPr="008B57B4">
              <w:rPr>
                <w:rFonts w:ascii="Calibri" w:hAnsi="Calibri"/>
                <w:vertAlign w:val="superscript"/>
              </w:rPr>
              <w:t>1</w:t>
            </w:r>
            <w:r w:rsidRPr="001C0878">
              <w:rPr>
                <w:rFonts w:ascii="Calibri" w:hAnsi="Calibri"/>
              </w:rPr>
              <w:t xml:space="preserve">. Use </w:t>
            </w:r>
            <w:r w:rsidR="00CE45B2">
              <w:rPr>
                <w:rFonts w:ascii="Calibri" w:hAnsi="Calibri"/>
              </w:rPr>
              <w:t xml:space="preserve">the completed worksheet </w:t>
            </w:r>
            <w:r w:rsidRPr="001C0878">
              <w:rPr>
                <w:rFonts w:ascii="Calibri" w:hAnsi="Calibri"/>
              </w:rPr>
              <w:t>to draft the RFP</w:t>
            </w:r>
            <w:r w:rsidR="00CE45B2">
              <w:rPr>
                <w:rFonts w:ascii="Calibri" w:hAnsi="Calibri"/>
              </w:rPr>
              <w:t xml:space="preserve"> </w:t>
            </w:r>
            <w:r w:rsidR="008B57B4">
              <w:rPr>
                <w:rFonts w:ascii="Calibri" w:hAnsi="Calibri"/>
              </w:rPr>
              <w:t>in</w:t>
            </w:r>
            <w:r w:rsidR="00CE45B2">
              <w:rPr>
                <w:rFonts w:ascii="Calibri" w:hAnsi="Calibri"/>
              </w:rPr>
              <w:t xml:space="preserve"> the Division of Purchases RFP</w:t>
            </w:r>
            <w:r w:rsidR="008B57B4">
              <w:rPr>
                <w:rFonts w:ascii="Calibri" w:hAnsi="Calibri"/>
              </w:rPr>
              <w:t xml:space="preserve"> template</w:t>
            </w:r>
            <w:r w:rsidRPr="001C0878">
              <w:rPr>
                <w:rFonts w:ascii="Calibri" w:hAnsi="Calibri"/>
              </w:rPr>
              <w:t>.</w:t>
            </w:r>
            <w:r w:rsidR="008B57B4" w:rsidRPr="008B57B4">
              <w:rPr>
                <w:rFonts w:ascii="Calibri" w:hAnsi="Calibri"/>
                <w:vertAlign w:val="superscript"/>
              </w:rPr>
              <w:t>1</w:t>
            </w:r>
            <w:r w:rsidRPr="001C0878">
              <w:rPr>
                <w:rFonts w:ascii="Calibri" w:hAnsi="Calibri"/>
              </w:rPr>
              <w:t xml:space="preserve"> </w:t>
            </w:r>
            <w:r w:rsidR="00BF6ABE">
              <w:rPr>
                <w:rFonts w:ascii="Calibri" w:hAnsi="Calibri"/>
              </w:rPr>
              <w:t>Work with your legal counsel to draft</w:t>
            </w:r>
            <w:r w:rsidRPr="001C0878">
              <w:rPr>
                <w:rFonts w:ascii="Calibri" w:hAnsi="Calibri"/>
              </w:rPr>
              <w:t xml:space="preserve"> a template of the contract to attach with the RFP.</w:t>
            </w:r>
          </w:p>
          <w:p w14:paraId="46175DFD" w14:textId="160562C8" w:rsidR="00C440AF" w:rsidRPr="001D0A54" w:rsidRDefault="00C440AF" w:rsidP="00BF6ABE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4 weeks to </w:t>
            </w:r>
            <w:r w:rsidR="00BF6ABE">
              <w:rPr>
                <w:rFonts w:ascii="Calibri" w:hAnsi="Calibri"/>
                <w:i/>
              </w:rPr>
              <w:t>draft RFP and template contract</w:t>
            </w:r>
            <w:r>
              <w:rPr>
                <w:rFonts w:ascii="Calibri" w:hAnsi="Calibri"/>
                <w:i/>
              </w:rPr>
              <w:t>.</w:t>
            </w:r>
          </w:p>
        </w:tc>
      </w:tr>
      <w:tr w:rsidR="00C440AF" w:rsidRPr="002E54D0" w14:paraId="7D0711FB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2E430DCE" w14:textId="03F51256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003D6673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5D756DED" w14:textId="6E18A861" w:rsidR="00C440AF" w:rsidRPr="001D0A54" w:rsidRDefault="008D1AAB" w:rsidP="008D1AAB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Finalize RFP draft and contract draft</w:t>
            </w:r>
          </w:p>
        </w:tc>
      </w:tr>
      <w:tr w:rsidR="00C440AF" w:rsidRPr="002E54D0" w14:paraId="26AB875C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1349D82D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048BFCF2" w14:textId="77777777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61D7168B" w14:textId="68206BDC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  <w:r w:rsidRPr="001C0878">
              <w:rPr>
                <w:rFonts w:ascii="Calibri" w:hAnsi="Calibri"/>
              </w:rPr>
              <w:t>Circulate RFP for feedback</w:t>
            </w:r>
            <w:r w:rsidR="00525026">
              <w:rPr>
                <w:rFonts w:ascii="Calibri" w:hAnsi="Calibri"/>
              </w:rPr>
              <w:t xml:space="preserve"> from</w:t>
            </w:r>
            <w:r w:rsidR="00FE61B3">
              <w:rPr>
                <w:rFonts w:ascii="Calibri" w:hAnsi="Calibri"/>
              </w:rPr>
              <w:t xml:space="preserve"> (a) those entities required by your agency process (e.g., legal or finance), (b) entities that could provide useful comments (e.g., other agencies that will be affected by this procurement</w:t>
            </w:r>
            <w:r w:rsidR="00525026">
              <w:rPr>
                <w:rFonts w:ascii="Calibri" w:hAnsi="Calibri"/>
              </w:rPr>
              <w:t>)</w:t>
            </w:r>
            <w:r w:rsidR="00FE61B3">
              <w:rPr>
                <w:rFonts w:ascii="Calibri" w:hAnsi="Calibri"/>
              </w:rPr>
              <w:t xml:space="preserve">, and (c) someone unfamiliar with the procurement that can verify whether the RFP is easily understandable for new or unfamiliar vendors.  </w:t>
            </w:r>
            <w:r w:rsidRPr="001C0878">
              <w:rPr>
                <w:rFonts w:ascii="Calibri" w:hAnsi="Calibri"/>
              </w:rPr>
              <w:t xml:space="preserve">Submit the </w:t>
            </w:r>
            <w:r w:rsidR="008D1AAB">
              <w:rPr>
                <w:rFonts w:ascii="Calibri" w:hAnsi="Calibri"/>
              </w:rPr>
              <w:t xml:space="preserve">final draft RFP and contract draft with the </w:t>
            </w:r>
            <w:r w:rsidRPr="001C0878">
              <w:rPr>
                <w:rFonts w:ascii="Calibri" w:hAnsi="Calibri"/>
              </w:rPr>
              <w:t>requisition.</w:t>
            </w:r>
            <w:r w:rsidR="00BF6ABE">
              <w:rPr>
                <w:rFonts w:ascii="Calibri" w:hAnsi="Calibri"/>
              </w:rPr>
              <w:t xml:space="preserve"> </w:t>
            </w:r>
          </w:p>
          <w:p w14:paraId="12F6F1EB" w14:textId="54153879" w:rsidR="00C440AF" w:rsidRPr="001D0A54" w:rsidRDefault="00C440AF" w:rsidP="00525026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6 weeks to </w:t>
            </w:r>
            <w:r w:rsidR="00BF6ABE">
              <w:rPr>
                <w:rFonts w:ascii="Calibri" w:hAnsi="Calibri"/>
                <w:i/>
              </w:rPr>
              <w:t>get feedback and finalize drafts</w:t>
            </w:r>
            <w:r>
              <w:rPr>
                <w:rFonts w:ascii="Calibri" w:hAnsi="Calibri"/>
                <w:i/>
              </w:rPr>
              <w:t>.</w:t>
            </w:r>
          </w:p>
        </w:tc>
      </w:tr>
      <w:tr w:rsidR="00C440AF" w:rsidRPr="002E54D0" w14:paraId="2BB7F4D0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1D7496BC" w14:textId="015FAE5D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30D795BE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1CC77A9F" w14:textId="09738C3C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RFP Released</w:t>
            </w:r>
          </w:p>
        </w:tc>
      </w:tr>
      <w:tr w:rsidR="00C440AF" w:rsidRPr="002E54D0" w14:paraId="79766C68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4B379B3D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44ADE47B" w14:textId="77777777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68B41FA6" w14:textId="5998597D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  <w:r w:rsidRPr="001C0878">
              <w:rPr>
                <w:rFonts w:ascii="Calibri" w:hAnsi="Calibri"/>
              </w:rPr>
              <w:t>Requisition is processed and RFP is released once review is complete.</w:t>
            </w:r>
          </w:p>
          <w:p w14:paraId="2F4B5E89" w14:textId="090B52AB" w:rsidR="00C440AF" w:rsidRPr="001D0A54" w:rsidRDefault="00C440AF" w:rsidP="002001C9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2 weeks.</w:t>
            </w:r>
          </w:p>
        </w:tc>
      </w:tr>
      <w:tr w:rsidR="00C440AF" w:rsidRPr="002E54D0" w14:paraId="79A045FB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12738655" w14:textId="77777777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02E4DF8C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74F517D5" w14:textId="0184E73C" w:rsidR="00C440AF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Pre-Bid Conference</w:t>
            </w:r>
            <w:r w:rsidR="009756CF">
              <w:rPr>
                <w:rFonts w:ascii="Calibri" w:hAnsi="Calibri"/>
                <w:b/>
              </w:rPr>
              <w:t xml:space="preserve"> (optional)</w:t>
            </w:r>
          </w:p>
        </w:tc>
      </w:tr>
      <w:tr w:rsidR="00C440AF" w:rsidRPr="002E54D0" w14:paraId="2BAD6305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1A45B857" w14:textId="77777777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152F858A" w14:textId="77777777" w:rsidR="00C440AF" w:rsidRDefault="00C440AF" w:rsidP="001C0878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04FF2F4D" w14:textId="2160AF3D" w:rsidR="00C440AF" w:rsidRPr="001C0878" w:rsidRDefault="00C440AF" w:rsidP="001C0878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Hold pre-bid conference to answer vendor questions and discuss RFP.</w:t>
            </w:r>
          </w:p>
          <w:p w14:paraId="7FBDB3F3" w14:textId="4A2F9333" w:rsidR="00C440AF" w:rsidRPr="001C0878" w:rsidRDefault="00AD1AEC" w:rsidP="001C0878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1-2</w:t>
            </w:r>
            <w:r w:rsidR="00C440AF" w:rsidRPr="001C0878">
              <w:rPr>
                <w:rFonts w:ascii="Calibri" w:hAnsi="Calibri"/>
                <w:i/>
              </w:rPr>
              <w:t xml:space="preserve"> weeks after RFP is posted.</w:t>
            </w:r>
          </w:p>
        </w:tc>
      </w:tr>
      <w:tr w:rsidR="00C440AF" w:rsidRPr="002E54D0" w14:paraId="37D0E7EA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4F29CC4A" w14:textId="0AC22648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609794E6" w14:textId="77777777" w:rsidR="00C440AF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118F0C20" w14:textId="5B22C976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Deadline for written vendor questions</w:t>
            </w:r>
          </w:p>
        </w:tc>
      </w:tr>
      <w:tr w:rsidR="00C440AF" w:rsidRPr="002E54D0" w14:paraId="1AD565C9" w14:textId="77777777" w:rsidTr="00C440AF">
        <w:tc>
          <w:tcPr>
            <w:tcW w:w="1800" w:type="dxa"/>
            <w:tcBorders>
              <w:top w:val="single" w:sz="4" w:space="0" w:color="auto"/>
            </w:tcBorders>
          </w:tcPr>
          <w:p w14:paraId="645DD000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2DE4267E" w14:textId="77777777" w:rsidR="00C440AF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333291F2" w14:textId="32381E03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Vendors prepare and submit questions to the Division of Purchases.</w:t>
            </w:r>
          </w:p>
          <w:p w14:paraId="7E018196" w14:textId="5CEE3EC9" w:rsidR="00C440AF" w:rsidRPr="001D0A54" w:rsidRDefault="00AD1AEC" w:rsidP="00AD1AEC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1</w:t>
            </w:r>
            <w:r w:rsidR="00C440AF">
              <w:rPr>
                <w:rFonts w:ascii="Calibri" w:hAnsi="Calibri"/>
                <w:i/>
              </w:rPr>
              <w:t xml:space="preserve"> week after pre-bid conference.</w:t>
            </w:r>
          </w:p>
        </w:tc>
      </w:tr>
      <w:tr w:rsidR="00C440AF" w:rsidRPr="002E54D0" w14:paraId="7D3B90A6" w14:textId="77777777" w:rsidTr="00C440AF">
        <w:tc>
          <w:tcPr>
            <w:tcW w:w="1800" w:type="dxa"/>
            <w:tcBorders>
              <w:bottom w:val="single" w:sz="4" w:space="0" w:color="auto"/>
            </w:tcBorders>
          </w:tcPr>
          <w:p w14:paraId="60628F2D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7B8395E3" w14:textId="77777777" w:rsidR="00C440AF" w:rsidRPr="001C0878" w:rsidRDefault="00C440AF" w:rsidP="001C0878">
            <w:pPr>
              <w:ind w:left="-14"/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401B954D" w14:textId="24A57B9A" w:rsidR="00C440AF" w:rsidRPr="001C0878" w:rsidRDefault="00C440AF" w:rsidP="00C440AF">
            <w:pPr>
              <w:spacing w:before="240"/>
              <w:rPr>
                <w:rFonts w:ascii="Calibri" w:hAnsi="Calibri"/>
                <w:b/>
              </w:rPr>
            </w:pPr>
            <w:r w:rsidRPr="001C0878">
              <w:rPr>
                <w:rFonts w:ascii="Calibri" w:hAnsi="Calibri"/>
                <w:b/>
              </w:rPr>
              <w:t>Responses to vendor questions posted</w:t>
            </w:r>
          </w:p>
        </w:tc>
      </w:tr>
      <w:tr w:rsidR="00C440AF" w:rsidRPr="002E54D0" w14:paraId="62F5C8B0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2894EEFD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4093FDE6" w14:textId="77777777" w:rsidR="00C440AF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3F6FA478" w14:textId="021A2898" w:rsidR="00C440AF" w:rsidRDefault="00C440AF" w:rsidP="005D6F5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Prepare responses to vendor questions and post these through the Division of Purchases.</w:t>
            </w:r>
          </w:p>
          <w:p w14:paraId="74A116D4" w14:textId="1D9A4B26" w:rsidR="00C440AF" w:rsidRPr="001C0878" w:rsidRDefault="00AD1AEC" w:rsidP="005D6F53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1 week</w:t>
            </w:r>
            <w:r w:rsidR="00C440AF">
              <w:rPr>
                <w:rFonts w:ascii="Calibri" w:hAnsi="Calibri"/>
                <w:i/>
              </w:rPr>
              <w:t xml:space="preserve"> after questions are due.</w:t>
            </w:r>
          </w:p>
        </w:tc>
      </w:tr>
      <w:tr w:rsidR="00C440AF" w:rsidRPr="002E54D0" w14:paraId="02E25217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07AE811A" w14:textId="20ADAD93" w:rsidR="00C440AF" w:rsidRPr="001D0A54" w:rsidRDefault="00C440AF" w:rsidP="001D0A54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3B3BB2A2" w14:textId="77777777" w:rsidR="00C440AF" w:rsidRPr="001D0A54" w:rsidRDefault="00C440AF" w:rsidP="00AE1CC2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4C9B74F2" w14:textId="0880409E" w:rsidR="00C440AF" w:rsidRPr="001D0A54" w:rsidRDefault="00C440AF" w:rsidP="00C440AF">
            <w:pPr>
              <w:spacing w:before="240"/>
              <w:rPr>
                <w:rFonts w:ascii="Calibri" w:hAnsi="Calibri"/>
                <w:b/>
              </w:rPr>
            </w:pPr>
            <w:r w:rsidRPr="001D0A54">
              <w:rPr>
                <w:rFonts w:ascii="Calibri" w:hAnsi="Calibri"/>
                <w:b/>
              </w:rPr>
              <w:t xml:space="preserve">Proposal </w:t>
            </w:r>
            <w:r>
              <w:rPr>
                <w:rFonts w:ascii="Calibri" w:hAnsi="Calibri"/>
                <w:b/>
              </w:rPr>
              <w:t xml:space="preserve">submission </w:t>
            </w:r>
            <w:r w:rsidRPr="001D0A54">
              <w:rPr>
                <w:rFonts w:ascii="Calibri" w:hAnsi="Calibri"/>
                <w:b/>
              </w:rPr>
              <w:t>deadline</w:t>
            </w:r>
          </w:p>
        </w:tc>
      </w:tr>
      <w:tr w:rsidR="00C440AF" w:rsidRPr="002E54D0" w14:paraId="3506AF94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3F73FE98" w14:textId="77777777" w:rsidR="00C440AF" w:rsidRPr="002E54D0" w:rsidRDefault="00C440AF" w:rsidP="001D0A54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5BBB44D6" w14:textId="77777777" w:rsidR="00C440AF" w:rsidRDefault="00C440AF" w:rsidP="005D6F5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6C3139EC" w14:textId="7C40C465" w:rsidR="00C440AF" w:rsidRPr="001C0878" w:rsidRDefault="00C440AF" w:rsidP="005D6F5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Prospective vendors submit proposals to the Division of Purchases.</w:t>
            </w:r>
          </w:p>
          <w:p w14:paraId="5FFAD693" w14:textId="217EDC81" w:rsidR="00C440AF" w:rsidRPr="001D0A54" w:rsidRDefault="00C440AF" w:rsidP="00697FD6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2 weeks after responses are posted. </w:t>
            </w:r>
          </w:p>
        </w:tc>
      </w:tr>
      <w:tr w:rsidR="00FE61B3" w:rsidRPr="002E54D0" w14:paraId="0D7B4B9B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09BB87A2" w14:textId="77777777" w:rsidR="00FE61B3" w:rsidRPr="002E54D0" w:rsidRDefault="00FE61B3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7A4F0852" w14:textId="77777777" w:rsidR="00FE61B3" w:rsidRDefault="00FE61B3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44FF3404" w14:textId="03B82E16" w:rsidR="00FE61B3" w:rsidRPr="00FE61B3" w:rsidRDefault="00FE61B3" w:rsidP="00FE61B3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Recommend a vendor for tentative award</w:t>
            </w:r>
          </w:p>
        </w:tc>
      </w:tr>
      <w:tr w:rsidR="00FE61B3" w:rsidRPr="002E54D0" w14:paraId="455F0417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1A2A3754" w14:textId="77777777" w:rsidR="00FE61B3" w:rsidRPr="002E54D0" w:rsidRDefault="00FE61B3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60994EBB" w14:textId="77777777" w:rsidR="00FE61B3" w:rsidRDefault="00FE61B3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7A3414BF" w14:textId="2857E7E9" w:rsidR="00FE61B3" w:rsidRDefault="00FE61B3" w:rsidP="00FE61B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 and score proposals. Recommend a vendor for tentative award.</w:t>
            </w:r>
          </w:p>
          <w:p w14:paraId="746E4521" w14:textId="451E0788" w:rsidR="00FE61B3" w:rsidRPr="00FE61B3" w:rsidRDefault="00FE61B3" w:rsidP="00FE61B3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4 weeks to review and make a recommendation</w:t>
            </w:r>
          </w:p>
        </w:tc>
      </w:tr>
      <w:tr w:rsidR="00FE61B3" w:rsidRPr="002E54D0" w14:paraId="02CD1405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5C8A8300" w14:textId="1657E6E8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28A9E7C5" w14:textId="77777777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48D086B8" w14:textId="3A4CA02E" w:rsidR="00FE61B3" w:rsidRPr="001D0A54" w:rsidRDefault="00FE61B3" w:rsidP="00FE61B3">
            <w:pPr>
              <w:spacing w:before="240"/>
              <w:rPr>
                <w:rFonts w:ascii="Calibri" w:hAnsi="Calibri"/>
                <w:b/>
              </w:rPr>
            </w:pPr>
            <w:r w:rsidRPr="001D0A54">
              <w:rPr>
                <w:rFonts w:ascii="Calibri" w:hAnsi="Calibri"/>
                <w:b/>
              </w:rPr>
              <w:t>Tentative award issued</w:t>
            </w:r>
            <w:r>
              <w:rPr>
                <w:rFonts w:ascii="Calibri" w:hAnsi="Calibri"/>
                <w:b/>
              </w:rPr>
              <w:t xml:space="preserve"> through the Division of Purchases</w:t>
            </w:r>
          </w:p>
        </w:tc>
      </w:tr>
      <w:tr w:rsidR="00FE61B3" w:rsidRPr="002E54D0" w14:paraId="2DBCADFA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1085A8C2" w14:textId="77777777" w:rsidR="00FE61B3" w:rsidRDefault="00FE61B3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748A4321" w14:textId="77777777" w:rsidR="00FE61B3" w:rsidRDefault="00FE61B3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57D96D6E" w14:textId="7C063E4C" w:rsidR="00FE61B3" w:rsidRDefault="00525026" w:rsidP="00FE61B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tentatively awarded vendor is notified by the Division of Purchases after the technical and cost evaluation process is complete</w:t>
            </w:r>
            <w:r w:rsidR="00FE61B3">
              <w:rPr>
                <w:rFonts w:ascii="Calibri" w:hAnsi="Calibri"/>
              </w:rPr>
              <w:t>.</w:t>
            </w:r>
          </w:p>
          <w:p w14:paraId="72A7E302" w14:textId="4B773AD3" w:rsidR="00FE61B3" w:rsidRPr="00525026" w:rsidRDefault="00FE61B3" w:rsidP="00525026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</w:t>
            </w:r>
            <w:r w:rsidR="00525026">
              <w:rPr>
                <w:rFonts w:ascii="Calibri" w:hAnsi="Calibri"/>
                <w:i/>
              </w:rPr>
              <w:t>1 week for Purchases to issue a tentative award</w:t>
            </w:r>
            <w:r>
              <w:rPr>
                <w:rFonts w:ascii="Calibri" w:hAnsi="Calibri"/>
                <w:i/>
              </w:rPr>
              <w:t>.</w:t>
            </w:r>
          </w:p>
        </w:tc>
      </w:tr>
      <w:tr w:rsidR="00FE61B3" w:rsidRPr="002E54D0" w14:paraId="6F4E079E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3A6B192D" w14:textId="52BEEA60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2AF53546" w14:textId="77777777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39B1A685" w14:textId="773E454B" w:rsidR="00FE61B3" w:rsidRPr="001D0A54" w:rsidRDefault="00FE61B3" w:rsidP="00FE61B3">
            <w:pPr>
              <w:spacing w:before="240"/>
              <w:rPr>
                <w:rFonts w:ascii="Calibri" w:hAnsi="Calibri"/>
                <w:b/>
              </w:rPr>
            </w:pPr>
            <w:r w:rsidRPr="001D0A54">
              <w:rPr>
                <w:rFonts w:ascii="Calibri" w:hAnsi="Calibri"/>
                <w:b/>
              </w:rPr>
              <w:t>Contract signed</w:t>
            </w:r>
            <w:r>
              <w:rPr>
                <w:rFonts w:ascii="Calibri" w:hAnsi="Calibri"/>
                <w:b/>
              </w:rPr>
              <w:t xml:space="preserve"> by all parties</w:t>
            </w:r>
          </w:p>
        </w:tc>
      </w:tr>
      <w:tr w:rsidR="00FE61B3" w:rsidRPr="002E54D0" w14:paraId="2726230C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1F87274B" w14:textId="77777777" w:rsidR="00FE61B3" w:rsidRDefault="00FE61B3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35BEF0C7" w14:textId="77777777" w:rsidR="00FE61B3" w:rsidRDefault="00FE61B3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1EFB3B7E" w14:textId="26B04283" w:rsidR="00FE61B3" w:rsidRPr="001D0A54" w:rsidRDefault="00FE61B3" w:rsidP="00D657E4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Suggested timeframe: </w:t>
            </w:r>
            <w:r w:rsidR="008B57B4">
              <w:rPr>
                <w:rFonts w:ascii="Calibri" w:hAnsi="Calibri"/>
                <w:i/>
              </w:rPr>
              <w:t>Allow 8 weeks for contract negotiations</w:t>
            </w:r>
            <w:r>
              <w:rPr>
                <w:rFonts w:ascii="Calibri" w:hAnsi="Calibri"/>
                <w:i/>
              </w:rPr>
              <w:t>.</w:t>
            </w:r>
          </w:p>
        </w:tc>
      </w:tr>
      <w:tr w:rsidR="00525026" w:rsidRPr="002E54D0" w14:paraId="0CDCECED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58B1015B" w14:textId="77777777" w:rsidR="00525026" w:rsidRDefault="00525026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198DE8A9" w14:textId="77777777" w:rsidR="00525026" w:rsidRDefault="00525026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742364BF" w14:textId="67D2350B" w:rsidR="00525026" w:rsidRPr="00525026" w:rsidRDefault="00525026" w:rsidP="00525026">
            <w:pPr>
              <w:spacing w:before="240"/>
              <w:rPr>
                <w:rFonts w:ascii="Calibri" w:hAnsi="Calibri"/>
                <w:b/>
              </w:rPr>
            </w:pPr>
            <w:r w:rsidRPr="00525026">
              <w:rPr>
                <w:rFonts w:ascii="Calibri" w:hAnsi="Calibri"/>
                <w:b/>
              </w:rPr>
              <w:t>Pu</w:t>
            </w:r>
            <w:r w:rsidR="008B57B4">
              <w:rPr>
                <w:rFonts w:ascii="Calibri" w:hAnsi="Calibri"/>
                <w:b/>
              </w:rPr>
              <w:t>rchase A</w:t>
            </w:r>
            <w:r w:rsidRPr="00525026">
              <w:rPr>
                <w:rFonts w:ascii="Calibri" w:hAnsi="Calibri"/>
                <w:b/>
              </w:rPr>
              <w:t>greement issued by the Division of Purchases</w:t>
            </w:r>
          </w:p>
        </w:tc>
      </w:tr>
      <w:tr w:rsidR="00525026" w:rsidRPr="002E54D0" w14:paraId="16DC85E7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6BB478E2" w14:textId="77777777" w:rsidR="00525026" w:rsidRDefault="00525026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058E69F2" w14:textId="77777777" w:rsidR="00525026" w:rsidRDefault="00525026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635C572F" w14:textId="77777777" w:rsidR="00525026" w:rsidRDefault="008B57B4" w:rsidP="00FE61B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Purchase Agreement is a notice of award, not a notice that delivery of services or goods can begin.</w:t>
            </w:r>
          </w:p>
          <w:p w14:paraId="4383157F" w14:textId="30EC58F2" w:rsidR="00D657E4" w:rsidRPr="00D657E4" w:rsidRDefault="00D657E4" w:rsidP="00FE61B3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2-3 business days for Purchases to issue a Purchase Agreement after the contract is signed.</w:t>
            </w:r>
          </w:p>
        </w:tc>
      </w:tr>
      <w:tr w:rsidR="00525026" w:rsidRPr="002E54D0" w14:paraId="2ECA3D29" w14:textId="77777777" w:rsidTr="00D657E4">
        <w:tc>
          <w:tcPr>
            <w:tcW w:w="1800" w:type="dxa"/>
            <w:tcBorders>
              <w:bottom w:val="single" w:sz="4" w:space="0" w:color="auto"/>
            </w:tcBorders>
          </w:tcPr>
          <w:p w14:paraId="75FE717D" w14:textId="77777777" w:rsidR="00525026" w:rsidRDefault="00525026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3D54B296" w14:textId="77777777" w:rsidR="00525026" w:rsidRDefault="00525026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7553E6CD" w14:textId="60F3F42A" w:rsidR="00D657E4" w:rsidRPr="00525026" w:rsidRDefault="00D657E4" w:rsidP="00525026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Release against Purchase A</w:t>
            </w:r>
            <w:r w:rsidR="00525026" w:rsidRPr="00525026">
              <w:rPr>
                <w:rFonts w:ascii="Calibri" w:hAnsi="Calibri"/>
                <w:b/>
              </w:rPr>
              <w:t>greement issued by your agency</w:t>
            </w:r>
          </w:p>
        </w:tc>
      </w:tr>
      <w:tr w:rsidR="00525026" w:rsidRPr="002E54D0" w14:paraId="36472A46" w14:textId="77777777" w:rsidTr="00D657E4">
        <w:tc>
          <w:tcPr>
            <w:tcW w:w="1800" w:type="dxa"/>
            <w:tcBorders>
              <w:top w:val="single" w:sz="4" w:space="0" w:color="auto"/>
            </w:tcBorders>
          </w:tcPr>
          <w:p w14:paraId="0045525A" w14:textId="77777777" w:rsidR="00525026" w:rsidRDefault="00525026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7E74FCA4" w14:textId="77777777" w:rsidR="00525026" w:rsidRDefault="00525026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7D2C696D" w14:textId="4AA9E18C" w:rsidR="00525026" w:rsidRDefault="00D657E4" w:rsidP="00FE61B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Your agency must issue a release against the Purchase Agreement for a Purchase Order to be created.</w:t>
            </w:r>
          </w:p>
          <w:p w14:paraId="690D1763" w14:textId="41043C42" w:rsidR="00D657E4" w:rsidRPr="00D657E4" w:rsidRDefault="00D657E4" w:rsidP="00FE61B3">
            <w:pPr>
              <w:ind w:left="34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Suggested timeframe: 1 business day for your agency to issue a release.</w:t>
            </w:r>
          </w:p>
        </w:tc>
      </w:tr>
      <w:tr w:rsidR="00FE61B3" w:rsidRPr="002E54D0" w14:paraId="385910EC" w14:textId="77777777" w:rsidTr="00D657E4">
        <w:tc>
          <w:tcPr>
            <w:tcW w:w="1800" w:type="dxa"/>
          </w:tcPr>
          <w:p w14:paraId="168713EC" w14:textId="77777777" w:rsidR="00FE61B3" w:rsidRDefault="00FE61B3" w:rsidP="00FE61B3">
            <w:pPr>
              <w:rPr>
                <w:rFonts w:ascii="Calibri" w:hAnsi="Calibri"/>
              </w:rPr>
            </w:pPr>
          </w:p>
        </w:tc>
        <w:tc>
          <w:tcPr>
            <w:tcW w:w="270" w:type="dxa"/>
          </w:tcPr>
          <w:p w14:paraId="053B43CF" w14:textId="77777777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7344" w:type="dxa"/>
          </w:tcPr>
          <w:p w14:paraId="5714143B" w14:textId="6ACF7201" w:rsidR="00FE61B3" w:rsidRPr="00697FD6" w:rsidRDefault="00D657E4" w:rsidP="00FE61B3">
            <w:pPr>
              <w:spacing w:before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Purchase O</w:t>
            </w:r>
            <w:r w:rsidR="00FE61B3" w:rsidRPr="001D0A54">
              <w:rPr>
                <w:rFonts w:ascii="Calibri" w:hAnsi="Calibri"/>
                <w:b/>
              </w:rPr>
              <w:t>rder issued</w:t>
            </w:r>
            <w:r w:rsidR="00FE61B3">
              <w:rPr>
                <w:rFonts w:ascii="Calibri" w:hAnsi="Calibri"/>
                <w:b/>
              </w:rPr>
              <w:t xml:space="preserve"> by the Division of Purchases</w:t>
            </w:r>
          </w:p>
        </w:tc>
      </w:tr>
      <w:tr w:rsidR="00FE61B3" w:rsidRPr="002E54D0" w14:paraId="19821431" w14:textId="77777777" w:rsidTr="00D657E4">
        <w:trPr>
          <w:trHeight w:val="80"/>
        </w:trPr>
        <w:tc>
          <w:tcPr>
            <w:tcW w:w="1800" w:type="dxa"/>
          </w:tcPr>
          <w:p w14:paraId="7D1B47C4" w14:textId="23C088FF" w:rsidR="00FE61B3" w:rsidRPr="001D0A54" w:rsidRDefault="00FE61B3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506E307C" w14:textId="77777777" w:rsidR="00FE61B3" w:rsidRDefault="00FE61B3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3A28B169" w14:textId="2F23C6ED" w:rsidR="00FE61B3" w:rsidRDefault="00FE61B3" w:rsidP="00FE61B3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issuance of a Purchase Order means that work associated with this contract can now begin.</w:t>
            </w:r>
          </w:p>
          <w:p w14:paraId="1A9D2430" w14:textId="0EFE224B" w:rsidR="00FE61B3" w:rsidRPr="00697FD6" w:rsidRDefault="00FE61B3" w:rsidP="00D657E4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 xml:space="preserve">Suggested timeframe: </w:t>
            </w:r>
            <w:r w:rsidR="00D657E4">
              <w:rPr>
                <w:rFonts w:ascii="Calibri" w:hAnsi="Calibri"/>
                <w:i/>
              </w:rPr>
              <w:t>2-3 business days after the release against the Purchase Agreement is submitted by your agency. Target this date for at</w:t>
            </w:r>
            <w:r>
              <w:rPr>
                <w:rFonts w:ascii="Calibri" w:hAnsi="Calibri"/>
                <w:i/>
              </w:rPr>
              <w:t xml:space="preserve"> least 1 week before the vendor will be expected to do work related to the contract.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D657E4" w:rsidRPr="002E54D0" w14:paraId="3BCB2FBE" w14:textId="77777777" w:rsidTr="00D657E4">
        <w:trPr>
          <w:trHeight w:val="80"/>
        </w:trPr>
        <w:tc>
          <w:tcPr>
            <w:tcW w:w="1800" w:type="dxa"/>
          </w:tcPr>
          <w:p w14:paraId="060F70FE" w14:textId="77777777" w:rsidR="00D657E4" w:rsidRPr="001D0A54" w:rsidRDefault="00D657E4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196E8210" w14:textId="77777777" w:rsidR="00D657E4" w:rsidRDefault="00D657E4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3F8065B9" w14:textId="168628E7" w:rsidR="00D657E4" w:rsidRPr="00D657E4" w:rsidRDefault="00D657E4" w:rsidP="00D657E4">
            <w:pPr>
              <w:spacing w:before="240"/>
              <w:rPr>
                <w:rFonts w:ascii="Calibri" w:hAnsi="Calibri"/>
                <w:b/>
              </w:rPr>
            </w:pPr>
            <w:r w:rsidRPr="00D657E4">
              <w:rPr>
                <w:rFonts w:ascii="Calibri" w:hAnsi="Calibri"/>
                <w:b/>
              </w:rPr>
              <w:t>Work related to the contract begins.</w:t>
            </w:r>
          </w:p>
        </w:tc>
      </w:tr>
      <w:tr w:rsidR="00D657E4" w:rsidRPr="002E54D0" w14:paraId="0AE72C0F" w14:textId="77777777" w:rsidTr="00D657E4">
        <w:trPr>
          <w:trHeight w:val="80"/>
        </w:trPr>
        <w:tc>
          <w:tcPr>
            <w:tcW w:w="1800" w:type="dxa"/>
            <w:tcBorders>
              <w:top w:val="single" w:sz="4" w:space="0" w:color="auto"/>
            </w:tcBorders>
          </w:tcPr>
          <w:p w14:paraId="4EBC4FEE" w14:textId="77777777" w:rsidR="00D657E4" w:rsidRPr="001D0A54" w:rsidRDefault="00D657E4" w:rsidP="00FE61B3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14:paraId="29534324" w14:textId="77777777" w:rsidR="00D657E4" w:rsidRDefault="00D657E4" w:rsidP="00FE61B3">
            <w:pPr>
              <w:ind w:left="346"/>
              <w:rPr>
                <w:rFonts w:ascii="Calibri" w:hAnsi="Calibri"/>
              </w:rPr>
            </w:pPr>
          </w:p>
        </w:tc>
        <w:tc>
          <w:tcPr>
            <w:tcW w:w="7344" w:type="dxa"/>
          </w:tcPr>
          <w:p w14:paraId="133845B6" w14:textId="73637B89" w:rsidR="00D657E4" w:rsidRDefault="00D657E4" w:rsidP="00A079AC">
            <w:pPr>
              <w:ind w:left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is the date you expect the vendor to begin work related to this contract, including work</w:t>
            </w:r>
            <w:r w:rsidR="00A079AC">
              <w:rPr>
                <w:rFonts w:ascii="Calibri" w:hAnsi="Calibri"/>
              </w:rPr>
              <w:t xml:space="preserve"> related to transitioning between vendors</w:t>
            </w:r>
            <w:r>
              <w:rPr>
                <w:rFonts w:ascii="Calibri" w:hAnsi="Calibri"/>
              </w:rPr>
              <w:t>, if applicable.</w:t>
            </w:r>
          </w:p>
          <w:p w14:paraId="7A438235" w14:textId="4D37AC14" w:rsidR="00A079AC" w:rsidRPr="00A079AC" w:rsidRDefault="00A079AC" w:rsidP="00A079AC">
            <w:pPr>
              <w:ind w:left="346"/>
              <w:rPr>
                <w:rFonts w:ascii="Calibri" w:hAnsi="Calibri"/>
                <w:b/>
                <w:i/>
              </w:rPr>
            </w:pPr>
          </w:p>
        </w:tc>
      </w:tr>
    </w:tbl>
    <w:p w14:paraId="2E4D4B9B" w14:textId="4A8724D7" w:rsidR="00ED509E" w:rsidRPr="00013D87" w:rsidRDefault="00A079AC" w:rsidP="001D0A54">
      <w:pPr>
        <w:spacing w:after="0" w:line="240" w:lineRule="auto"/>
        <w:contextualSpacing/>
        <w:rPr>
          <w:color w:val="000000" w:themeColor="text1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CF213" wp14:editId="7F2D0C26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1381125" cy="933450"/>
                <wp:effectExtent l="0" t="723900" r="66675" b="1905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4876800"/>
                          <a:ext cx="1381125" cy="933450"/>
                        </a:xfrm>
                        <a:prstGeom prst="wedgeRectCallout">
                          <a:avLst>
                            <a:gd name="adj1" fmla="val 50501"/>
                            <a:gd name="adj2" fmla="val -12350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065AD" w14:textId="436929DD" w:rsidR="00A079AC" w:rsidRDefault="00A079AC" w:rsidP="00A079A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79AC">
                              <w:rPr>
                                <w:b/>
                                <w:sz w:val="28"/>
                                <w:szCs w:val="28"/>
                              </w:rPr>
                              <w:t>Start Here!</w:t>
                            </w:r>
                          </w:p>
                          <w:p w14:paraId="3477CB38" w14:textId="00C07B55" w:rsidR="00A079AC" w:rsidRPr="00A079AC" w:rsidRDefault="00A079AC" w:rsidP="00A079AC">
                            <w:pPr>
                              <w:spacing w:after="0"/>
                              <w:jc w:val="center"/>
                            </w:pPr>
                            <w:r w:rsidRPr="00A079AC">
                              <w:t>Then build out your timeline by working backward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F2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7" type="#_x0000_t61" style="position:absolute;margin-left:0;margin-top:5.95pt;width:108.75pt;height:7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" adj="21708,-15877" fillcolor="black [3200]" strokecolor="black [1600]" strokeweight="1pt">
                <v:textbox>
                  <w:txbxContent>
                    <w:p w14:paraId="5D5065AD" w14:textId="436929DD" w:rsidR="00A079AC" w:rsidRDefault="00A079AC" w:rsidP="00A079A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79AC">
                        <w:rPr>
                          <w:b/>
                          <w:sz w:val="28"/>
                          <w:szCs w:val="28"/>
                        </w:rPr>
                        <w:t>Start Here!</w:t>
                      </w:r>
                    </w:p>
                    <w:p w14:paraId="3477CB38" w14:textId="00C07B55" w:rsidR="00A079AC" w:rsidRPr="00A079AC" w:rsidRDefault="00A079AC" w:rsidP="00A079AC">
                      <w:pPr>
                        <w:spacing w:after="0"/>
                        <w:jc w:val="center"/>
                      </w:pPr>
                      <w:r w:rsidRPr="00A079AC">
                        <w:t>Then build out your timeline by working backward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7E4">
        <w:rPr>
          <w:color w:val="000000" w:themeColor="text1"/>
        </w:rPr>
        <w:tab/>
      </w:r>
    </w:p>
    <w:sectPr w:rsidR="00ED509E" w:rsidRPr="00013D87" w:rsidSect="0083787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650F" w14:textId="77777777" w:rsidR="00721B66" w:rsidRDefault="00721B66" w:rsidP="005D116E">
      <w:pPr>
        <w:spacing w:after="0" w:line="240" w:lineRule="auto"/>
      </w:pPr>
      <w:r>
        <w:separator/>
      </w:r>
    </w:p>
  </w:endnote>
  <w:endnote w:type="continuationSeparator" w:id="0">
    <w:p w14:paraId="1341D79A" w14:textId="77777777" w:rsidR="00721B66" w:rsidRDefault="00721B66" w:rsidP="005D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12F6" w14:textId="3CCFFBB4" w:rsidR="00013D87" w:rsidRDefault="00AD1AEC" w:rsidP="005D6F53">
    <w:pPr>
      <w:pStyle w:val="Footer"/>
      <w:jc w:val="cen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F47789"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  <w:r w:rsidR="00A079AC">
      <w:t xml:space="preserve">v. </w:t>
    </w:r>
    <w:r w:rsidR="007D6295">
      <w:t>10/31/2022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A3EC" w14:textId="77777777" w:rsidR="00721B66" w:rsidRDefault="00721B66" w:rsidP="005D116E">
      <w:pPr>
        <w:spacing w:after="0" w:line="240" w:lineRule="auto"/>
      </w:pPr>
      <w:r>
        <w:separator/>
      </w:r>
    </w:p>
  </w:footnote>
  <w:footnote w:type="continuationSeparator" w:id="0">
    <w:p w14:paraId="2C03E0C7" w14:textId="77777777" w:rsidR="00721B66" w:rsidRDefault="00721B66" w:rsidP="005D1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EE1"/>
    <w:multiLevelType w:val="hybridMultilevel"/>
    <w:tmpl w:val="AA8EA110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52E2"/>
    <w:multiLevelType w:val="hybridMultilevel"/>
    <w:tmpl w:val="DEF61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3433C7"/>
    <w:multiLevelType w:val="hybridMultilevel"/>
    <w:tmpl w:val="4CF6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5792"/>
    <w:multiLevelType w:val="hybridMultilevel"/>
    <w:tmpl w:val="686E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5675"/>
    <w:multiLevelType w:val="hybridMultilevel"/>
    <w:tmpl w:val="1804B6D8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44FD6"/>
    <w:multiLevelType w:val="hybridMultilevel"/>
    <w:tmpl w:val="110E98B4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30AD"/>
    <w:multiLevelType w:val="hybridMultilevel"/>
    <w:tmpl w:val="45C2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5FA3"/>
    <w:multiLevelType w:val="hybridMultilevel"/>
    <w:tmpl w:val="819A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599"/>
    <w:multiLevelType w:val="hybridMultilevel"/>
    <w:tmpl w:val="9B6CEDE2"/>
    <w:lvl w:ilvl="0" w:tplc="ED3CA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6A50"/>
    <w:multiLevelType w:val="hybridMultilevel"/>
    <w:tmpl w:val="9AFA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65ED3"/>
    <w:multiLevelType w:val="hybridMultilevel"/>
    <w:tmpl w:val="0E1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675C"/>
    <w:multiLevelType w:val="hybridMultilevel"/>
    <w:tmpl w:val="18C4717E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51E33B44"/>
    <w:multiLevelType w:val="hybridMultilevel"/>
    <w:tmpl w:val="1A6E39BC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4675A"/>
    <w:multiLevelType w:val="hybridMultilevel"/>
    <w:tmpl w:val="9DF2EED8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9EF"/>
    <w:multiLevelType w:val="hybridMultilevel"/>
    <w:tmpl w:val="874E2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5433CA"/>
    <w:multiLevelType w:val="hybridMultilevel"/>
    <w:tmpl w:val="27DA51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681492"/>
    <w:multiLevelType w:val="hybridMultilevel"/>
    <w:tmpl w:val="C5DAB2EA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06EBF"/>
    <w:multiLevelType w:val="hybridMultilevel"/>
    <w:tmpl w:val="BE00BF74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E186B"/>
    <w:multiLevelType w:val="hybridMultilevel"/>
    <w:tmpl w:val="D450BB4A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E24DA"/>
    <w:multiLevelType w:val="hybridMultilevel"/>
    <w:tmpl w:val="79EEFA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727799"/>
    <w:multiLevelType w:val="hybridMultilevel"/>
    <w:tmpl w:val="D3CA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7D54"/>
    <w:multiLevelType w:val="hybridMultilevel"/>
    <w:tmpl w:val="BB86AC34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C8067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75109"/>
    <w:multiLevelType w:val="hybridMultilevel"/>
    <w:tmpl w:val="AE44DE78"/>
    <w:lvl w:ilvl="0" w:tplc="FC8067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0984">
    <w:abstractNumId w:val="13"/>
  </w:num>
  <w:num w:numId="2" w16cid:durableId="607544921">
    <w:abstractNumId w:val="9"/>
  </w:num>
  <w:num w:numId="3" w16cid:durableId="324940692">
    <w:abstractNumId w:val="10"/>
  </w:num>
  <w:num w:numId="4" w16cid:durableId="2014646263">
    <w:abstractNumId w:val="20"/>
  </w:num>
  <w:num w:numId="5" w16cid:durableId="1294869475">
    <w:abstractNumId w:val="7"/>
  </w:num>
  <w:num w:numId="6" w16cid:durableId="252980720">
    <w:abstractNumId w:val="16"/>
  </w:num>
  <w:num w:numId="7" w16cid:durableId="121117013">
    <w:abstractNumId w:val="19"/>
  </w:num>
  <w:num w:numId="8" w16cid:durableId="1794900518">
    <w:abstractNumId w:val="18"/>
  </w:num>
  <w:num w:numId="9" w16cid:durableId="1507593944">
    <w:abstractNumId w:val="0"/>
  </w:num>
  <w:num w:numId="10" w16cid:durableId="1443064074">
    <w:abstractNumId w:val="12"/>
  </w:num>
  <w:num w:numId="11" w16cid:durableId="1136029650">
    <w:abstractNumId w:val="17"/>
  </w:num>
  <w:num w:numId="12" w16cid:durableId="737895622">
    <w:abstractNumId w:val="5"/>
  </w:num>
  <w:num w:numId="13" w16cid:durableId="515774242">
    <w:abstractNumId w:val="21"/>
  </w:num>
  <w:num w:numId="14" w16cid:durableId="1136803611">
    <w:abstractNumId w:val="4"/>
  </w:num>
  <w:num w:numId="15" w16cid:durableId="1634477709">
    <w:abstractNumId w:val="22"/>
  </w:num>
  <w:num w:numId="16" w16cid:durableId="1754203187">
    <w:abstractNumId w:val="6"/>
  </w:num>
  <w:num w:numId="17" w16cid:durableId="1063020853">
    <w:abstractNumId w:val="8"/>
  </w:num>
  <w:num w:numId="18" w16cid:durableId="1426463261">
    <w:abstractNumId w:val="11"/>
  </w:num>
  <w:num w:numId="19" w16cid:durableId="449906447">
    <w:abstractNumId w:val="2"/>
  </w:num>
  <w:num w:numId="20" w16cid:durableId="1251813769">
    <w:abstractNumId w:val="3"/>
  </w:num>
  <w:num w:numId="21" w16cid:durableId="813448762">
    <w:abstractNumId w:val="14"/>
  </w:num>
  <w:num w:numId="22" w16cid:durableId="413668517">
    <w:abstractNumId w:val="1"/>
  </w:num>
  <w:num w:numId="23" w16cid:durableId="2033215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D3"/>
    <w:rsid w:val="00004930"/>
    <w:rsid w:val="00007C71"/>
    <w:rsid w:val="00011CF1"/>
    <w:rsid w:val="00013D87"/>
    <w:rsid w:val="00014E7F"/>
    <w:rsid w:val="000167B7"/>
    <w:rsid w:val="0002381F"/>
    <w:rsid w:val="00033849"/>
    <w:rsid w:val="00040098"/>
    <w:rsid w:val="0004563B"/>
    <w:rsid w:val="000457A7"/>
    <w:rsid w:val="000632ED"/>
    <w:rsid w:val="000954CD"/>
    <w:rsid w:val="000A243A"/>
    <w:rsid w:val="000B356C"/>
    <w:rsid w:val="000C4816"/>
    <w:rsid w:val="000E148B"/>
    <w:rsid w:val="000E5B27"/>
    <w:rsid w:val="000E7429"/>
    <w:rsid w:val="00107AEF"/>
    <w:rsid w:val="001130ED"/>
    <w:rsid w:val="00131E3E"/>
    <w:rsid w:val="00132B05"/>
    <w:rsid w:val="00143181"/>
    <w:rsid w:val="001639DF"/>
    <w:rsid w:val="001640EC"/>
    <w:rsid w:val="00173B47"/>
    <w:rsid w:val="00175216"/>
    <w:rsid w:val="00191008"/>
    <w:rsid w:val="001A108E"/>
    <w:rsid w:val="001B5556"/>
    <w:rsid w:val="001C0878"/>
    <w:rsid w:val="001D0A54"/>
    <w:rsid w:val="001F01A8"/>
    <w:rsid w:val="002001C9"/>
    <w:rsid w:val="00212E92"/>
    <w:rsid w:val="00223B91"/>
    <w:rsid w:val="0023016D"/>
    <w:rsid w:val="002370F2"/>
    <w:rsid w:val="002500E8"/>
    <w:rsid w:val="00250E8D"/>
    <w:rsid w:val="002553FE"/>
    <w:rsid w:val="002657B4"/>
    <w:rsid w:val="002A2A3D"/>
    <w:rsid w:val="002A52FC"/>
    <w:rsid w:val="002B3DF2"/>
    <w:rsid w:val="002C7FCA"/>
    <w:rsid w:val="002D36FF"/>
    <w:rsid w:val="002D570B"/>
    <w:rsid w:val="002E20BD"/>
    <w:rsid w:val="002E4414"/>
    <w:rsid w:val="002E54D0"/>
    <w:rsid w:val="002F0B9C"/>
    <w:rsid w:val="002F6A4E"/>
    <w:rsid w:val="00320248"/>
    <w:rsid w:val="003A5012"/>
    <w:rsid w:val="003A7297"/>
    <w:rsid w:val="003B7306"/>
    <w:rsid w:val="003C17A4"/>
    <w:rsid w:val="003D125B"/>
    <w:rsid w:val="003D53F9"/>
    <w:rsid w:val="003D6135"/>
    <w:rsid w:val="003E0E26"/>
    <w:rsid w:val="004035ED"/>
    <w:rsid w:val="00417481"/>
    <w:rsid w:val="00431727"/>
    <w:rsid w:val="004327C0"/>
    <w:rsid w:val="00433791"/>
    <w:rsid w:val="004371F4"/>
    <w:rsid w:val="00446C7C"/>
    <w:rsid w:val="00452CC4"/>
    <w:rsid w:val="0046544F"/>
    <w:rsid w:val="00473292"/>
    <w:rsid w:val="004968E9"/>
    <w:rsid w:val="004B5EAB"/>
    <w:rsid w:val="004E1499"/>
    <w:rsid w:val="004E5103"/>
    <w:rsid w:val="004E72A6"/>
    <w:rsid w:val="004E7861"/>
    <w:rsid w:val="004F5F3B"/>
    <w:rsid w:val="00502F8E"/>
    <w:rsid w:val="00504900"/>
    <w:rsid w:val="00521087"/>
    <w:rsid w:val="00525026"/>
    <w:rsid w:val="0053771B"/>
    <w:rsid w:val="00575DD1"/>
    <w:rsid w:val="005763C1"/>
    <w:rsid w:val="00580386"/>
    <w:rsid w:val="00590096"/>
    <w:rsid w:val="00596358"/>
    <w:rsid w:val="005A141E"/>
    <w:rsid w:val="005A17B9"/>
    <w:rsid w:val="005A1891"/>
    <w:rsid w:val="005A283B"/>
    <w:rsid w:val="005A428B"/>
    <w:rsid w:val="005A4302"/>
    <w:rsid w:val="005B286F"/>
    <w:rsid w:val="005B4A68"/>
    <w:rsid w:val="005D116E"/>
    <w:rsid w:val="005D261A"/>
    <w:rsid w:val="005D6F53"/>
    <w:rsid w:val="005E2023"/>
    <w:rsid w:val="005F4AF0"/>
    <w:rsid w:val="005F5EA7"/>
    <w:rsid w:val="0060408E"/>
    <w:rsid w:val="00614AE8"/>
    <w:rsid w:val="00620304"/>
    <w:rsid w:val="006708C9"/>
    <w:rsid w:val="0068079A"/>
    <w:rsid w:val="00693B32"/>
    <w:rsid w:val="00697FD6"/>
    <w:rsid w:val="006B1594"/>
    <w:rsid w:val="006B6491"/>
    <w:rsid w:val="006C1436"/>
    <w:rsid w:val="006C32CD"/>
    <w:rsid w:val="006E594F"/>
    <w:rsid w:val="006E68E3"/>
    <w:rsid w:val="006F31F3"/>
    <w:rsid w:val="007101CE"/>
    <w:rsid w:val="007145C3"/>
    <w:rsid w:val="00717449"/>
    <w:rsid w:val="007211CE"/>
    <w:rsid w:val="00721B66"/>
    <w:rsid w:val="00744795"/>
    <w:rsid w:val="007503AB"/>
    <w:rsid w:val="00765602"/>
    <w:rsid w:val="007748EA"/>
    <w:rsid w:val="00782515"/>
    <w:rsid w:val="00782917"/>
    <w:rsid w:val="007858EF"/>
    <w:rsid w:val="007908D8"/>
    <w:rsid w:val="007A463E"/>
    <w:rsid w:val="007B0D28"/>
    <w:rsid w:val="007D6295"/>
    <w:rsid w:val="007D7949"/>
    <w:rsid w:val="007F039D"/>
    <w:rsid w:val="007F3A10"/>
    <w:rsid w:val="008017E7"/>
    <w:rsid w:val="008055B3"/>
    <w:rsid w:val="008137C6"/>
    <w:rsid w:val="00833EEE"/>
    <w:rsid w:val="0083565A"/>
    <w:rsid w:val="00837871"/>
    <w:rsid w:val="008442C9"/>
    <w:rsid w:val="008540A5"/>
    <w:rsid w:val="00883212"/>
    <w:rsid w:val="00892BBD"/>
    <w:rsid w:val="008A3657"/>
    <w:rsid w:val="008B57B4"/>
    <w:rsid w:val="008C1418"/>
    <w:rsid w:val="008D1AAB"/>
    <w:rsid w:val="008F2933"/>
    <w:rsid w:val="008F6F46"/>
    <w:rsid w:val="0090401C"/>
    <w:rsid w:val="00906AD2"/>
    <w:rsid w:val="00911A0C"/>
    <w:rsid w:val="00926F4D"/>
    <w:rsid w:val="009319AF"/>
    <w:rsid w:val="00936F5D"/>
    <w:rsid w:val="00944CFD"/>
    <w:rsid w:val="00953A3E"/>
    <w:rsid w:val="009756CF"/>
    <w:rsid w:val="00983488"/>
    <w:rsid w:val="00987E5A"/>
    <w:rsid w:val="00996ECF"/>
    <w:rsid w:val="009A072C"/>
    <w:rsid w:val="009A31F1"/>
    <w:rsid w:val="009D6A5D"/>
    <w:rsid w:val="009F4050"/>
    <w:rsid w:val="00A079AC"/>
    <w:rsid w:val="00A341C7"/>
    <w:rsid w:val="00A368D8"/>
    <w:rsid w:val="00A454AF"/>
    <w:rsid w:val="00A57535"/>
    <w:rsid w:val="00A93CFF"/>
    <w:rsid w:val="00AA1DAE"/>
    <w:rsid w:val="00AB7D26"/>
    <w:rsid w:val="00AD1AEC"/>
    <w:rsid w:val="00AD31E1"/>
    <w:rsid w:val="00AE1CC2"/>
    <w:rsid w:val="00AE7006"/>
    <w:rsid w:val="00B0530C"/>
    <w:rsid w:val="00B15107"/>
    <w:rsid w:val="00B15793"/>
    <w:rsid w:val="00B16888"/>
    <w:rsid w:val="00B40843"/>
    <w:rsid w:val="00B50FD7"/>
    <w:rsid w:val="00B71638"/>
    <w:rsid w:val="00B732C7"/>
    <w:rsid w:val="00B73C68"/>
    <w:rsid w:val="00B773B5"/>
    <w:rsid w:val="00B81A80"/>
    <w:rsid w:val="00B91DB2"/>
    <w:rsid w:val="00BA03F6"/>
    <w:rsid w:val="00BA5210"/>
    <w:rsid w:val="00BB435F"/>
    <w:rsid w:val="00BC308A"/>
    <w:rsid w:val="00BC4DBA"/>
    <w:rsid w:val="00BD608E"/>
    <w:rsid w:val="00BF054D"/>
    <w:rsid w:val="00BF6ABE"/>
    <w:rsid w:val="00C002B8"/>
    <w:rsid w:val="00C062C6"/>
    <w:rsid w:val="00C1220A"/>
    <w:rsid w:val="00C13735"/>
    <w:rsid w:val="00C14AD9"/>
    <w:rsid w:val="00C2076C"/>
    <w:rsid w:val="00C26BB1"/>
    <w:rsid w:val="00C27B72"/>
    <w:rsid w:val="00C3117E"/>
    <w:rsid w:val="00C440AF"/>
    <w:rsid w:val="00C95115"/>
    <w:rsid w:val="00CA3A78"/>
    <w:rsid w:val="00CA5040"/>
    <w:rsid w:val="00CB55B1"/>
    <w:rsid w:val="00CB6F36"/>
    <w:rsid w:val="00CE45B2"/>
    <w:rsid w:val="00CF3CE5"/>
    <w:rsid w:val="00CF52CC"/>
    <w:rsid w:val="00D04B85"/>
    <w:rsid w:val="00D251CF"/>
    <w:rsid w:val="00D269BE"/>
    <w:rsid w:val="00D276B8"/>
    <w:rsid w:val="00D30F4C"/>
    <w:rsid w:val="00D4069E"/>
    <w:rsid w:val="00D478EB"/>
    <w:rsid w:val="00D6234E"/>
    <w:rsid w:val="00D657E4"/>
    <w:rsid w:val="00D702B1"/>
    <w:rsid w:val="00D85026"/>
    <w:rsid w:val="00D91B54"/>
    <w:rsid w:val="00D97806"/>
    <w:rsid w:val="00DE5A3C"/>
    <w:rsid w:val="00DF4AED"/>
    <w:rsid w:val="00E47B13"/>
    <w:rsid w:val="00E7151E"/>
    <w:rsid w:val="00E80936"/>
    <w:rsid w:val="00E94BAE"/>
    <w:rsid w:val="00E95817"/>
    <w:rsid w:val="00EA1EC2"/>
    <w:rsid w:val="00EB7870"/>
    <w:rsid w:val="00EC070C"/>
    <w:rsid w:val="00EC3302"/>
    <w:rsid w:val="00ED4741"/>
    <w:rsid w:val="00ED509E"/>
    <w:rsid w:val="00EF2DD3"/>
    <w:rsid w:val="00F04BEF"/>
    <w:rsid w:val="00F12D43"/>
    <w:rsid w:val="00F36A26"/>
    <w:rsid w:val="00F40403"/>
    <w:rsid w:val="00F42277"/>
    <w:rsid w:val="00F47789"/>
    <w:rsid w:val="00F63B10"/>
    <w:rsid w:val="00FB2953"/>
    <w:rsid w:val="00FC1BC0"/>
    <w:rsid w:val="00FD22E0"/>
    <w:rsid w:val="00FE28A5"/>
    <w:rsid w:val="00FE429D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FFE90C"/>
  <w15:docId w15:val="{036942CE-5A82-4463-942F-D20B59A7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11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1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11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F1"/>
  </w:style>
  <w:style w:type="paragraph" w:styleId="Footer">
    <w:name w:val="footer"/>
    <w:basedOn w:val="Normal"/>
    <w:link w:val="FooterChar"/>
    <w:uiPriority w:val="99"/>
    <w:unhideWhenUsed/>
    <w:rsid w:val="0001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F1"/>
  </w:style>
  <w:style w:type="character" w:styleId="Hyperlink">
    <w:name w:val="Hyperlink"/>
    <w:basedOn w:val="DefaultParagraphFont"/>
    <w:uiPriority w:val="99"/>
    <w:unhideWhenUsed/>
    <w:rsid w:val="000E742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3B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41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0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6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6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21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62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dop.ri.gov/node/6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dop.ri.gov/node/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dop.ecms.ri.gov/agency-procurement-club-and-campus/agency-procurement-camp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DCA6-952F-42A8-BA2F-C88F8BDC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Mertz, Kate</dc:creator>
  <cp:keywords/>
  <dc:description/>
  <cp:lastModifiedBy>Pomfret, Alicia (DOA)</cp:lastModifiedBy>
  <cp:revision>14</cp:revision>
  <cp:lastPrinted>2017-10-13T20:05:00Z</cp:lastPrinted>
  <dcterms:created xsi:type="dcterms:W3CDTF">2018-03-16T14:05:00Z</dcterms:created>
  <dcterms:modified xsi:type="dcterms:W3CDTF">2023-04-07T20:07:00Z</dcterms:modified>
</cp:coreProperties>
</file>