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408"/>
      </w:tblGrid>
      <w:tr w:rsidR="006946DA" w:rsidRPr="00EC27A4" w:rsidTr="002268B2">
        <w:trPr>
          <w:trHeight w:val="1610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6946DA" w:rsidRPr="00EC27A4" w:rsidRDefault="006946DA" w:rsidP="002268B2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 wp14:anchorId="3E36466C" wp14:editId="43387F51">
                  <wp:extent cx="1302385" cy="871220"/>
                  <wp:effectExtent l="0" t="0" r="0" b="5080"/>
                  <wp:docPr id="1" name="Picture 1" descr="ancho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cho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Borders>
              <w:top w:val="nil"/>
              <w:bottom w:val="nil"/>
              <w:right w:val="nil"/>
            </w:tcBorders>
          </w:tcPr>
          <w:p w:rsidR="006946DA" w:rsidRPr="00EC27A4" w:rsidRDefault="006946DA" w:rsidP="002268B2">
            <w:pPr>
              <w:ind w:left="792"/>
              <w:rPr>
                <w:sz w:val="24"/>
                <w:szCs w:val="24"/>
              </w:rPr>
            </w:pPr>
            <w:r w:rsidRPr="00EC27A4">
              <w:rPr>
                <w:sz w:val="24"/>
                <w:szCs w:val="24"/>
              </w:rPr>
              <w:t>State of Rhode Island, Department of Administration</w:t>
            </w:r>
          </w:p>
          <w:p w:rsidR="006946DA" w:rsidRPr="00EC27A4" w:rsidRDefault="006946DA" w:rsidP="002268B2">
            <w:pPr>
              <w:ind w:left="792"/>
              <w:rPr>
                <w:sz w:val="24"/>
                <w:szCs w:val="24"/>
              </w:rPr>
            </w:pPr>
            <w:r w:rsidRPr="00EC27A4">
              <w:rPr>
                <w:sz w:val="24"/>
                <w:szCs w:val="24"/>
              </w:rPr>
              <w:t>Division of Purchases</w:t>
            </w:r>
          </w:p>
          <w:p w:rsidR="006946DA" w:rsidRPr="00EC27A4" w:rsidRDefault="006946DA" w:rsidP="002268B2">
            <w:pPr>
              <w:ind w:left="792"/>
              <w:rPr>
                <w:sz w:val="24"/>
                <w:szCs w:val="24"/>
              </w:rPr>
            </w:pPr>
            <w:r w:rsidRPr="00EC27A4">
              <w:rPr>
                <w:sz w:val="24"/>
                <w:szCs w:val="24"/>
              </w:rPr>
              <w:t>One Capitol Hill</w:t>
            </w:r>
          </w:p>
          <w:p w:rsidR="006946DA" w:rsidRPr="00EC27A4" w:rsidRDefault="006946DA" w:rsidP="002268B2">
            <w:pPr>
              <w:ind w:left="792"/>
              <w:rPr>
                <w:sz w:val="24"/>
                <w:szCs w:val="24"/>
              </w:rPr>
            </w:pPr>
            <w:r w:rsidRPr="00EC27A4">
              <w:rPr>
                <w:sz w:val="24"/>
                <w:szCs w:val="24"/>
              </w:rPr>
              <w:t>Providence, Rhode Island  02908</w:t>
            </w:r>
          </w:p>
          <w:p w:rsidR="006946DA" w:rsidRPr="00EC27A4" w:rsidRDefault="00F614BF" w:rsidP="002268B2">
            <w:pPr>
              <w:ind w:left="792"/>
              <w:rPr>
                <w:sz w:val="24"/>
                <w:szCs w:val="24"/>
              </w:rPr>
            </w:pPr>
            <w:r w:rsidRPr="00F614BF">
              <w:rPr>
                <w:sz w:val="24"/>
                <w:szCs w:val="24"/>
                <w:u w:val="single"/>
              </w:rPr>
              <w:t>www.purchasing.ri.gov</w:t>
            </w:r>
            <w:r w:rsidR="006946DA" w:rsidRPr="00EC27A4">
              <w:rPr>
                <w:sz w:val="24"/>
                <w:szCs w:val="24"/>
              </w:rPr>
              <w:t xml:space="preserve">  </w:t>
            </w:r>
            <w:r w:rsidR="006946DA" w:rsidRPr="00EC27A4">
              <w:rPr>
                <w:sz w:val="24"/>
                <w:szCs w:val="24"/>
              </w:rPr>
              <w:tab/>
            </w:r>
            <w:r w:rsidR="006946DA" w:rsidRPr="00EC27A4">
              <w:rPr>
                <w:sz w:val="24"/>
                <w:szCs w:val="24"/>
              </w:rPr>
              <w:tab/>
              <w:t xml:space="preserve">    (401)</w:t>
            </w:r>
            <w:r w:rsidR="000856DC">
              <w:rPr>
                <w:sz w:val="24"/>
                <w:szCs w:val="24"/>
              </w:rPr>
              <w:t xml:space="preserve"> </w:t>
            </w:r>
            <w:r w:rsidR="006946DA" w:rsidRPr="00EC27A4">
              <w:rPr>
                <w:sz w:val="24"/>
                <w:szCs w:val="24"/>
              </w:rPr>
              <w:t>574-8100</w:t>
            </w:r>
          </w:p>
        </w:tc>
      </w:tr>
    </w:tbl>
    <w:p w:rsidR="00837E11" w:rsidRDefault="00837E11" w:rsidP="006946DA">
      <w:pPr>
        <w:jc w:val="center"/>
        <w:rPr>
          <w:b/>
          <w:sz w:val="24"/>
          <w:szCs w:val="24"/>
          <w:u w:val="single"/>
        </w:rPr>
      </w:pPr>
    </w:p>
    <w:p w:rsidR="002668CB" w:rsidRDefault="002668CB" w:rsidP="006946DA">
      <w:pPr>
        <w:jc w:val="center"/>
        <w:rPr>
          <w:b/>
          <w:sz w:val="24"/>
          <w:szCs w:val="24"/>
          <w:u w:val="single"/>
        </w:rPr>
      </w:pPr>
    </w:p>
    <w:p w:rsidR="002668CB" w:rsidRDefault="002668CB" w:rsidP="006946DA">
      <w:pPr>
        <w:jc w:val="center"/>
        <w:rPr>
          <w:b/>
          <w:sz w:val="24"/>
          <w:szCs w:val="24"/>
          <w:u w:val="single"/>
        </w:rPr>
      </w:pPr>
    </w:p>
    <w:p w:rsidR="00A12D04" w:rsidRDefault="00A12D04" w:rsidP="00A12D0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ARCHITECTURAL, ENGINEERING OR CONSULTANT SERVICES </w:t>
      </w:r>
    </w:p>
    <w:p w:rsidR="006946DA" w:rsidRPr="00EC27A4" w:rsidRDefault="00A12D04" w:rsidP="00A12D0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 TO EXCEED $20,000</w:t>
      </w:r>
      <w:r w:rsidR="006946DA" w:rsidRPr="00EC27A4">
        <w:rPr>
          <w:b/>
          <w:sz w:val="24"/>
          <w:szCs w:val="24"/>
          <w:u w:val="single"/>
        </w:rPr>
        <w:t xml:space="preserve"> </w:t>
      </w:r>
      <w:r w:rsidR="00D96278">
        <w:rPr>
          <w:b/>
          <w:sz w:val="24"/>
          <w:szCs w:val="24"/>
          <w:u w:val="single"/>
        </w:rPr>
        <w:t>(R. I. Gen. Laws § 37-2-</w:t>
      </w:r>
      <w:r>
        <w:rPr>
          <w:b/>
          <w:sz w:val="24"/>
          <w:szCs w:val="24"/>
          <w:u w:val="single"/>
        </w:rPr>
        <w:t>69</w:t>
      </w:r>
      <w:r w:rsidR="00D96278">
        <w:rPr>
          <w:b/>
          <w:sz w:val="24"/>
          <w:szCs w:val="24"/>
          <w:u w:val="single"/>
        </w:rPr>
        <w:t>)</w:t>
      </w:r>
    </w:p>
    <w:p w:rsidR="006946DA" w:rsidRPr="00EC27A4" w:rsidRDefault="006946DA" w:rsidP="006946DA">
      <w:pPr>
        <w:rPr>
          <w:sz w:val="24"/>
          <w:szCs w:val="24"/>
        </w:rPr>
      </w:pPr>
    </w:p>
    <w:p w:rsidR="006946DA" w:rsidRPr="00EC27A4" w:rsidRDefault="006946DA" w:rsidP="003920EC">
      <w:pPr>
        <w:tabs>
          <w:tab w:val="left" w:leader="underscore" w:pos="5760"/>
          <w:tab w:val="left" w:leader="underscore" w:pos="9360"/>
        </w:tabs>
        <w:rPr>
          <w:sz w:val="24"/>
          <w:szCs w:val="24"/>
        </w:rPr>
      </w:pPr>
      <w:r w:rsidRPr="00EC27A4">
        <w:rPr>
          <w:sz w:val="24"/>
          <w:szCs w:val="24"/>
        </w:rPr>
        <w:t xml:space="preserve">Requesting </w:t>
      </w:r>
      <w:r w:rsidR="005D0891">
        <w:rPr>
          <w:sz w:val="24"/>
          <w:szCs w:val="24"/>
        </w:rPr>
        <w:t>Dep</w:t>
      </w:r>
      <w:r w:rsidR="000856DC">
        <w:rPr>
          <w:sz w:val="24"/>
          <w:szCs w:val="24"/>
        </w:rPr>
        <w:t>artment</w:t>
      </w:r>
      <w:r w:rsidR="005D0891">
        <w:rPr>
          <w:sz w:val="24"/>
          <w:szCs w:val="24"/>
        </w:rPr>
        <w:t>/</w:t>
      </w:r>
      <w:r w:rsidRPr="00EC27A4">
        <w:rPr>
          <w:sz w:val="24"/>
          <w:szCs w:val="24"/>
        </w:rPr>
        <w:t>Agency</w:t>
      </w:r>
      <w:r w:rsidR="003920EC">
        <w:rPr>
          <w:sz w:val="24"/>
          <w:szCs w:val="24"/>
        </w:rPr>
        <w:t>:</w:t>
      </w:r>
      <w:r w:rsidR="005D0891">
        <w:rPr>
          <w:sz w:val="24"/>
          <w:szCs w:val="24"/>
        </w:rPr>
        <w:tab/>
      </w:r>
      <w:r w:rsidR="009D31A1">
        <w:rPr>
          <w:sz w:val="24"/>
          <w:szCs w:val="24"/>
        </w:rPr>
        <w:t xml:space="preserve">Requisition </w:t>
      </w:r>
      <w:r w:rsidR="003920EC">
        <w:rPr>
          <w:sz w:val="24"/>
          <w:szCs w:val="24"/>
        </w:rPr>
        <w:t>#:</w:t>
      </w:r>
      <w:r w:rsidR="003920EC">
        <w:rPr>
          <w:sz w:val="24"/>
          <w:szCs w:val="24"/>
        </w:rPr>
        <w:tab/>
      </w:r>
    </w:p>
    <w:p w:rsidR="00837E11" w:rsidRDefault="00837E11" w:rsidP="005D0891">
      <w:pPr>
        <w:rPr>
          <w:sz w:val="24"/>
          <w:szCs w:val="24"/>
        </w:rPr>
      </w:pPr>
    </w:p>
    <w:p w:rsidR="006946DA" w:rsidRPr="00EC27A4" w:rsidRDefault="006946DA" w:rsidP="00810A5C">
      <w:pPr>
        <w:tabs>
          <w:tab w:val="left" w:leader="underscore" w:pos="9360"/>
        </w:tabs>
        <w:rPr>
          <w:sz w:val="24"/>
          <w:szCs w:val="24"/>
        </w:rPr>
      </w:pPr>
      <w:r w:rsidRPr="00EC27A4">
        <w:rPr>
          <w:sz w:val="24"/>
          <w:szCs w:val="24"/>
        </w:rPr>
        <w:t>Service</w:t>
      </w:r>
      <w:r w:rsidR="00810A5C">
        <w:rPr>
          <w:sz w:val="24"/>
          <w:szCs w:val="24"/>
        </w:rPr>
        <w:t xml:space="preserve"> to be </w:t>
      </w:r>
      <w:proofErr w:type="gramStart"/>
      <w:r w:rsidR="00810A5C">
        <w:rPr>
          <w:sz w:val="24"/>
          <w:szCs w:val="24"/>
        </w:rPr>
        <w:t>Procured</w:t>
      </w:r>
      <w:proofErr w:type="gramEnd"/>
      <w:r w:rsidRPr="00EC27A4">
        <w:rPr>
          <w:sz w:val="24"/>
          <w:szCs w:val="24"/>
        </w:rPr>
        <w:t xml:space="preserve">: </w:t>
      </w:r>
      <w:r w:rsidR="00810A5C">
        <w:rPr>
          <w:sz w:val="24"/>
          <w:szCs w:val="24"/>
        </w:rPr>
        <w:tab/>
      </w:r>
    </w:p>
    <w:p w:rsidR="00837E11" w:rsidRPr="00EC27A4" w:rsidRDefault="00837E11" w:rsidP="006946DA">
      <w:pPr>
        <w:rPr>
          <w:sz w:val="24"/>
          <w:szCs w:val="24"/>
        </w:rPr>
      </w:pPr>
    </w:p>
    <w:p w:rsidR="00D02F14" w:rsidRPr="00F15E7B" w:rsidRDefault="00D02F14" w:rsidP="006946DA">
      <w:pPr>
        <w:jc w:val="both"/>
        <w:rPr>
          <w:sz w:val="24"/>
          <w:szCs w:val="24"/>
        </w:rPr>
      </w:pPr>
      <w:bookmarkStart w:id="1" w:name="Check2"/>
      <w:r>
        <w:rPr>
          <w:b/>
          <w:sz w:val="24"/>
          <w:szCs w:val="24"/>
          <w:u w:val="single"/>
        </w:rPr>
        <w:t>Submit to Division of Purchases.</w:t>
      </w:r>
      <w:r w:rsidRPr="00CF599C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When completed, Department or Agency must submit this form to the Division of Purchases</w:t>
      </w:r>
      <w:r w:rsidR="00A01799">
        <w:rPr>
          <w:sz w:val="24"/>
          <w:szCs w:val="24"/>
        </w:rPr>
        <w:t xml:space="preserve"> (“Division”)</w:t>
      </w:r>
      <w:r>
        <w:rPr>
          <w:sz w:val="24"/>
          <w:szCs w:val="24"/>
        </w:rPr>
        <w:t xml:space="preserve">.  In accordance with R.I. Gen. Laws § 37-2-69, the Division will present this completed form to the </w:t>
      </w:r>
      <w:r w:rsidR="00A01799">
        <w:rPr>
          <w:sz w:val="24"/>
          <w:szCs w:val="24"/>
        </w:rPr>
        <w:t>Director of Administration/</w:t>
      </w:r>
      <w:r>
        <w:rPr>
          <w:sz w:val="24"/>
          <w:szCs w:val="24"/>
        </w:rPr>
        <w:t>Chief Purchasing Officer</w:t>
      </w:r>
      <w:r w:rsidR="00A01799">
        <w:rPr>
          <w:sz w:val="24"/>
          <w:szCs w:val="24"/>
        </w:rPr>
        <w:t xml:space="preserve"> (“CPO”)</w:t>
      </w:r>
      <w:r>
        <w:rPr>
          <w:sz w:val="24"/>
          <w:szCs w:val="24"/>
        </w:rPr>
        <w:t xml:space="preserve"> for review.</w:t>
      </w:r>
      <w:r w:rsidR="00CF599C">
        <w:rPr>
          <w:sz w:val="24"/>
          <w:szCs w:val="24"/>
        </w:rPr>
        <w:t xml:space="preserve">  </w:t>
      </w:r>
      <w:r w:rsidR="00A01799">
        <w:rPr>
          <w:sz w:val="24"/>
          <w:szCs w:val="24"/>
        </w:rPr>
        <w:t>If a</w:t>
      </w:r>
      <w:r w:rsidR="00CF599C" w:rsidRPr="00CF599C">
        <w:rPr>
          <w:sz w:val="24"/>
          <w:szCs w:val="24"/>
        </w:rPr>
        <w:t xml:space="preserve"> </w:t>
      </w:r>
      <w:r w:rsidR="00A01799">
        <w:rPr>
          <w:sz w:val="24"/>
          <w:szCs w:val="24"/>
        </w:rPr>
        <w:t>Master Price Agreement (“MPA”)</w:t>
      </w:r>
      <w:r w:rsidR="00CF599C" w:rsidRPr="00CF599C">
        <w:rPr>
          <w:sz w:val="24"/>
          <w:szCs w:val="24"/>
        </w:rPr>
        <w:t xml:space="preserve"> vendor is </w:t>
      </w:r>
      <w:r w:rsidR="003D4A3C">
        <w:rPr>
          <w:sz w:val="24"/>
          <w:szCs w:val="24"/>
        </w:rPr>
        <w:t xml:space="preserve">ultimately </w:t>
      </w:r>
      <w:r w:rsidR="00CF599C" w:rsidRPr="00CF599C">
        <w:rPr>
          <w:sz w:val="24"/>
          <w:szCs w:val="24"/>
        </w:rPr>
        <w:t xml:space="preserve">utilized, departments and agencies do not need to obtain the </w:t>
      </w:r>
      <w:r w:rsidR="00A01799">
        <w:rPr>
          <w:sz w:val="24"/>
          <w:szCs w:val="24"/>
        </w:rPr>
        <w:t>CPO’s</w:t>
      </w:r>
      <w:r w:rsidR="00CF599C" w:rsidRPr="00CF599C">
        <w:rPr>
          <w:sz w:val="24"/>
          <w:szCs w:val="24"/>
        </w:rPr>
        <w:t xml:space="preserve"> prior approval or submit </w:t>
      </w:r>
      <w:r w:rsidR="00CF599C">
        <w:rPr>
          <w:sz w:val="24"/>
          <w:szCs w:val="24"/>
        </w:rPr>
        <w:t>this</w:t>
      </w:r>
      <w:r w:rsidR="00CF599C" w:rsidRPr="00CF599C">
        <w:rPr>
          <w:sz w:val="24"/>
          <w:szCs w:val="24"/>
        </w:rPr>
        <w:t xml:space="preserve"> form to the Division.</w:t>
      </w:r>
    </w:p>
    <w:p w:rsidR="00D02F14" w:rsidRDefault="00D02F14" w:rsidP="006946DA">
      <w:pPr>
        <w:jc w:val="both"/>
        <w:rPr>
          <w:b/>
          <w:sz w:val="24"/>
          <w:szCs w:val="24"/>
          <w:u w:val="single"/>
        </w:rPr>
      </w:pPr>
    </w:p>
    <w:p w:rsidR="00810A5C" w:rsidRDefault="00810A5C" w:rsidP="006946DA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MPA Requirement.</w:t>
      </w:r>
      <w:proofErr w:type="gramEnd"/>
      <w:r>
        <w:rPr>
          <w:sz w:val="24"/>
          <w:szCs w:val="24"/>
        </w:rPr>
        <w:t xml:space="preserve">  </w:t>
      </w:r>
      <w:r w:rsidR="00A12D04">
        <w:rPr>
          <w:sz w:val="24"/>
          <w:szCs w:val="24"/>
        </w:rPr>
        <w:t>Where a</w:t>
      </w:r>
      <w:r w:rsidR="00A01799">
        <w:rPr>
          <w:sz w:val="24"/>
          <w:szCs w:val="24"/>
        </w:rPr>
        <w:t>n MPA</w:t>
      </w:r>
      <w:r>
        <w:rPr>
          <w:sz w:val="24"/>
          <w:szCs w:val="24"/>
        </w:rPr>
        <w:t xml:space="preserve"> covering </w:t>
      </w:r>
      <w:r w:rsidR="00A12D04">
        <w:rPr>
          <w:sz w:val="24"/>
          <w:szCs w:val="24"/>
        </w:rPr>
        <w:t>architectural, engineering, or consultant services</w:t>
      </w:r>
      <w:r>
        <w:rPr>
          <w:sz w:val="24"/>
          <w:szCs w:val="24"/>
        </w:rPr>
        <w:t xml:space="preserve"> is available</w:t>
      </w:r>
      <w:r w:rsidR="00A01799">
        <w:rPr>
          <w:sz w:val="24"/>
          <w:szCs w:val="24"/>
        </w:rPr>
        <w:t>, d</w:t>
      </w:r>
      <w:r w:rsidR="00A12D04">
        <w:rPr>
          <w:sz w:val="24"/>
          <w:szCs w:val="24"/>
        </w:rPr>
        <w:t xml:space="preserve">epartments </w:t>
      </w:r>
      <w:r w:rsidR="00A01799">
        <w:rPr>
          <w:sz w:val="24"/>
          <w:szCs w:val="24"/>
        </w:rPr>
        <w:t>and a</w:t>
      </w:r>
      <w:r w:rsidR="00A12D04">
        <w:rPr>
          <w:sz w:val="24"/>
          <w:szCs w:val="24"/>
        </w:rPr>
        <w:t>gencies are required to utilize MPA vendors</w:t>
      </w:r>
      <w:r>
        <w:rPr>
          <w:sz w:val="24"/>
          <w:szCs w:val="24"/>
        </w:rPr>
        <w:t>.</w:t>
      </w:r>
      <w:r w:rsidR="000856DC">
        <w:rPr>
          <w:sz w:val="24"/>
          <w:szCs w:val="24"/>
        </w:rPr>
        <w:t xml:space="preserve">  </w:t>
      </w:r>
      <w:r w:rsidR="00177AEB">
        <w:rPr>
          <w:sz w:val="24"/>
          <w:szCs w:val="24"/>
        </w:rPr>
        <w:t xml:space="preserve">Refer to specific MPA Contract User Guide for further instructions.  </w:t>
      </w:r>
      <w:r w:rsidR="000856DC">
        <w:rPr>
          <w:sz w:val="24"/>
          <w:szCs w:val="24"/>
        </w:rPr>
        <w:t xml:space="preserve">For more information on available MPAs, please call the Division and/or visit its website (contact information listed above). </w:t>
      </w:r>
    </w:p>
    <w:p w:rsidR="009862AD" w:rsidRPr="002668CB" w:rsidRDefault="009862AD" w:rsidP="006946DA">
      <w:pPr>
        <w:jc w:val="both"/>
        <w:rPr>
          <w:sz w:val="24"/>
          <w:szCs w:val="24"/>
        </w:rPr>
      </w:pPr>
    </w:p>
    <w:bookmarkEnd w:id="1"/>
    <w:p w:rsidR="00CE740E" w:rsidRDefault="006946DA" w:rsidP="00CE740E">
      <w:pPr>
        <w:jc w:val="both"/>
        <w:rPr>
          <w:sz w:val="24"/>
          <w:szCs w:val="24"/>
        </w:rPr>
      </w:pPr>
      <w:r w:rsidRPr="00EC27A4">
        <w:rPr>
          <w:b/>
          <w:sz w:val="24"/>
          <w:szCs w:val="24"/>
          <w:u w:val="single"/>
        </w:rPr>
        <w:t>Three written quotes required.</w:t>
      </w:r>
      <w:r w:rsidRPr="00EC27A4">
        <w:rPr>
          <w:sz w:val="24"/>
          <w:szCs w:val="24"/>
        </w:rPr>
        <w:t xml:space="preserve">  For </w:t>
      </w:r>
      <w:r w:rsidR="00413222" w:rsidRPr="00EC27A4">
        <w:rPr>
          <w:sz w:val="24"/>
          <w:szCs w:val="24"/>
        </w:rPr>
        <w:t>procurements</w:t>
      </w:r>
      <w:r w:rsidR="00413222">
        <w:rPr>
          <w:sz w:val="24"/>
          <w:szCs w:val="24"/>
        </w:rPr>
        <w:t xml:space="preserve"> of </w:t>
      </w:r>
      <w:r w:rsidR="00A12D04">
        <w:rPr>
          <w:sz w:val="24"/>
          <w:szCs w:val="24"/>
        </w:rPr>
        <w:t xml:space="preserve">architectural, engineering or consultant services </w:t>
      </w:r>
      <w:r w:rsidR="00A12D04">
        <w:rPr>
          <w:b/>
          <w:sz w:val="24"/>
          <w:szCs w:val="24"/>
        </w:rPr>
        <w:t xml:space="preserve">not to exceed </w:t>
      </w:r>
      <w:r w:rsidRPr="00EC27A4">
        <w:rPr>
          <w:b/>
          <w:sz w:val="24"/>
          <w:szCs w:val="24"/>
        </w:rPr>
        <w:t>$</w:t>
      </w:r>
      <w:r w:rsidR="00A12D04">
        <w:rPr>
          <w:b/>
          <w:sz w:val="24"/>
          <w:szCs w:val="24"/>
        </w:rPr>
        <w:t>20</w:t>
      </w:r>
      <w:r w:rsidRPr="00EC27A4">
        <w:rPr>
          <w:b/>
          <w:sz w:val="24"/>
          <w:szCs w:val="24"/>
        </w:rPr>
        <w:t>,000</w:t>
      </w:r>
      <w:r w:rsidR="005D0891">
        <w:rPr>
          <w:b/>
          <w:sz w:val="24"/>
          <w:szCs w:val="24"/>
        </w:rPr>
        <w:t>,</w:t>
      </w:r>
      <w:r w:rsidRPr="00EC27A4">
        <w:rPr>
          <w:sz w:val="24"/>
          <w:szCs w:val="24"/>
        </w:rPr>
        <w:t xml:space="preserve"> at least three (3) written quotes </w:t>
      </w:r>
      <w:r w:rsidR="00413222">
        <w:rPr>
          <w:sz w:val="24"/>
          <w:szCs w:val="24"/>
        </w:rPr>
        <w:t xml:space="preserve">must </w:t>
      </w:r>
      <w:r w:rsidRPr="00EC27A4">
        <w:rPr>
          <w:sz w:val="24"/>
          <w:szCs w:val="24"/>
        </w:rPr>
        <w:t xml:space="preserve">be obtained through e-mail, fax or </w:t>
      </w:r>
      <w:r w:rsidR="005D0891">
        <w:rPr>
          <w:sz w:val="24"/>
          <w:szCs w:val="24"/>
        </w:rPr>
        <w:t>the internet</w:t>
      </w:r>
      <w:r w:rsidRPr="00121687">
        <w:rPr>
          <w:sz w:val="24"/>
          <w:szCs w:val="24"/>
        </w:rPr>
        <w:t>.</w:t>
      </w:r>
      <w:r w:rsidR="00CE740E" w:rsidRPr="00EC27A4">
        <w:rPr>
          <w:sz w:val="24"/>
          <w:szCs w:val="24"/>
        </w:rPr>
        <w:t xml:space="preserve"> </w:t>
      </w:r>
      <w:r w:rsidR="00CE740E">
        <w:rPr>
          <w:sz w:val="24"/>
          <w:szCs w:val="24"/>
        </w:rPr>
        <w:t xml:space="preserve"> A</w:t>
      </w:r>
      <w:r w:rsidR="00CE740E" w:rsidRPr="002668CB">
        <w:rPr>
          <w:sz w:val="24"/>
          <w:szCs w:val="24"/>
        </w:rPr>
        <w:t>t least one</w:t>
      </w:r>
      <w:r w:rsidR="00A01799">
        <w:rPr>
          <w:sz w:val="24"/>
          <w:szCs w:val="24"/>
        </w:rPr>
        <w:t xml:space="preserve"> (1)</w:t>
      </w:r>
      <w:r w:rsidR="00CE740E" w:rsidRPr="002668CB">
        <w:rPr>
          <w:sz w:val="24"/>
          <w:szCs w:val="24"/>
        </w:rPr>
        <w:t xml:space="preserve"> of the quotes </w:t>
      </w:r>
      <w:r w:rsidR="00CE740E">
        <w:rPr>
          <w:sz w:val="24"/>
          <w:szCs w:val="24"/>
        </w:rPr>
        <w:t>shall</w:t>
      </w:r>
      <w:r w:rsidR="00CE740E" w:rsidRPr="002668CB">
        <w:rPr>
          <w:sz w:val="24"/>
          <w:szCs w:val="24"/>
        </w:rPr>
        <w:t xml:space="preserve"> be from a certified MBE/WBE</w:t>
      </w:r>
      <w:r w:rsidR="00177AEB">
        <w:rPr>
          <w:sz w:val="24"/>
          <w:szCs w:val="24"/>
        </w:rPr>
        <w:t>, assuming there is an MBE/WBE capable of providing the goods or services</w:t>
      </w:r>
      <w:r w:rsidR="00CE740E" w:rsidRPr="002668CB">
        <w:rPr>
          <w:sz w:val="24"/>
          <w:szCs w:val="24"/>
        </w:rPr>
        <w:t xml:space="preserve">.  </w:t>
      </w:r>
      <w:r w:rsidR="00CE740E">
        <w:rPr>
          <w:sz w:val="24"/>
          <w:szCs w:val="24"/>
        </w:rPr>
        <w:t>Additionally, a</w:t>
      </w:r>
      <w:r w:rsidR="00CE740E" w:rsidRPr="00777AC3">
        <w:rPr>
          <w:sz w:val="24"/>
          <w:szCs w:val="24"/>
        </w:rPr>
        <w:t>t least one</w:t>
      </w:r>
      <w:r w:rsidR="005A5E1B">
        <w:rPr>
          <w:sz w:val="24"/>
          <w:szCs w:val="24"/>
        </w:rPr>
        <w:t xml:space="preserve"> (1)</w:t>
      </w:r>
      <w:r w:rsidR="00CE740E" w:rsidRPr="00777AC3">
        <w:rPr>
          <w:sz w:val="24"/>
          <w:szCs w:val="24"/>
        </w:rPr>
        <w:t xml:space="preserve"> of the three </w:t>
      </w:r>
      <w:r w:rsidR="00CE740E">
        <w:rPr>
          <w:sz w:val="24"/>
          <w:szCs w:val="24"/>
        </w:rPr>
        <w:t xml:space="preserve">(3) </w:t>
      </w:r>
      <w:r w:rsidR="00CE740E" w:rsidRPr="00777AC3">
        <w:rPr>
          <w:sz w:val="24"/>
          <w:szCs w:val="24"/>
        </w:rPr>
        <w:t xml:space="preserve">required quotes must be from a </w:t>
      </w:r>
      <w:r w:rsidR="00CE740E">
        <w:rPr>
          <w:sz w:val="24"/>
          <w:szCs w:val="24"/>
        </w:rPr>
        <w:t>“local vendor</w:t>
      </w:r>
      <w:r w:rsidR="00177AEB">
        <w:rPr>
          <w:sz w:val="24"/>
          <w:szCs w:val="24"/>
        </w:rPr>
        <w:t>,</w:t>
      </w:r>
      <w:r w:rsidR="00CE740E">
        <w:rPr>
          <w:sz w:val="24"/>
          <w:szCs w:val="24"/>
        </w:rPr>
        <w:t>”</w:t>
      </w:r>
      <w:r w:rsidR="00177AEB">
        <w:rPr>
          <w:sz w:val="24"/>
          <w:szCs w:val="24"/>
        </w:rPr>
        <w:t xml:space="preserve"> again assuming there is a local vendor capable of providing the goods or services.</w:t>
      </w:r>
      <w:r w:rsidR="00CE740E" w:rsidRPr="00777AC3">
        <w:rPr>
          <w:sz w:val="24"/>
          <w:szCs w:val="24"/>
        </w:rPr>
        <w:t xml:space="preserve">  </w:t>
      </w:r>
      <w:r w:rsidR="00CE740E">
        <w:rPr>
          <w:sz w:val="24"/>
          <w:szCs w:val="24"/>
        </w:rPr>
        <w:t xml:space="preserve">This “local vendor” may be the same vendor used to satisfy the MBE/WBE requirement, but agencies must still get a total of three (3) written quotes for any procurement under this delegated small purchase authority. </w:t>
      </w:r>
    </w:p>
    <w:p w:rsidR="00CE740E" w:rsidRDefault="00CE740E" w:rsidP="00CE740E">
      <w:pPr>
        <w:jc w:val="both"/>
        <w:rPr>
          <w:sz w:val="24"/>
          <w:szCs w:val="24"/>
        </w:rPr>
      </w:pPr>
    </w:p>
    <w:p w:rsidR="00CE740E" w:rsidRDefault="00CE740E" w:rsidP="00CE74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order to get the most cost effective pricing, as a general rule, departments and agencies should award contracts to the lowest responsive and responsible bidder.  However, there is an exception regarding the State’s interest in supporting Minority Business participation.  </w:t>
      </w:r>
      <w:r w:rsidRPr="00D96278">
        <w:rPr>
          <w:sz w:val="24"/>
          <w:szCs w:val="24"/>
        </w:rPr>
        <w:t xml:space="preserve">When awarding to an MBE/WBE that was not the low bidder, </w:t>
      </w:r>
      <w:r w:rsidRPr="00296A79">
        <w:rPr>
          <w:sz w:val="24"/>
          <w:szCs w:val="24"/>
        </w:rPr>
        <w:t xml:space="preserve">section 5.12.1.2.3 of the State of Rhode Island Procurement Regulations and section 25(b) of the Regulations’ Appendix A - General </w:t>
      </w:r>
      <w:r>
        <w:rPr>
          <w:sz w:val="24"/>
          <w:szCs w:val="24"/>
        </w:rPr>
        <w:t xml:space="preserve">Conditions of Purchase, allow selection of the </w:t>
      </w:r>
      <w:r w:rsidRPr="00D96278">
        <w:rPr>
          <w:sz w:val="24"/>
          <w:szCs w:val="24"/>
        </w:rPr>
        <w:t>MBE’s/WBE</w:t>
      </w:r>
      <w:r>
        <w:rPr>
          <w:sz w:val="24"/>
          <w:szCs w:val="24"/>
        </w:rPr>
        <w:t xml:space="preserve"> if its</w:t>
      </w:r>
      <w:r w:rsidRPr="00D96278">
        <w:rPr>
          <w:sz w:val="24"/>
          <w:szCs w:val="24"/>
        </w:rPr>
        <w:t xml:space="preserve"> price quote</w:t>
      </w:r>
      <w:r>
        <w:rPr>
          <w:sz w:val="24"/>
          <w:szCs w:val="24"/>
        </w:rPr>
        <w:t xml:space="preserve"> is</w:t>
      </w:r>
      <w:r w:rsidRPr="00D96278">
        <w:rPr>
          <w:sz w:val="24"/>
          <w:szCs w:val="24"/>
        </w:rPr>
        <w:t xml:space="preserve"> within a competitive range</w:t>
      </w:r>
      <w:r>
        <w:rPr>
          <w:sz w:val="24"/>
          <w:szCs w:val="24"/>
        </w:rPr>
        <w:t xml:space="preserve">, </w:t>
      </w:r>
      <w:r w:rsidRPr="00D96278">
        <w:rPr>
          <w:sz w:val="24"/>
          <w:szCs w:val="24"/>
        </w:rPr>
        <w:t xml:space="preserve">not to exceed five percent (5%) higher than the lowest responsive price offer) for a product or service.  </w:t>
      </w:r>
    </w:p>
    <w:p w:rsidR="00CE740E" w:rsidRDefault="00CE740E" w:rsidP="00CE740E">
      <w:pPr>
        <w:jc w:val="both"/>
        <w:rPr>
          <w:sz w:val="24"/>
          <w:szCs w:val="24"/>
        </w:rPr>
      </w:pPr>
    </w:p>
    <w:p w:rsidR="00CE740E" w:rsidRDefault="00CE740E" w:rsidP="00CE740E">
      <w:pPr>
        <w:jc w:val="both"/>
        <w:rPr>
          <w:sz w:val="24"/>
          <w:szCs w:val="24"/>
        </w:rPr>
      </w:pPr>
      <w:r w:rsidRPr="00D96278">
        <w:rPr>
          <w:sz w:val="24"/>
          <w:szCs w:val="24"/>
        </w:rPr>
        <w:lastRenderedPageBreak/>
        <w:t>The record shall include a</w:t>
      </w:r>
      <w:r>
        <w:rPr>
          <w:sz w:val="24"/>
          <w:szCs w:val="24"/>
        </w:rPr>
        <w:t>n</w:t>
      </w:r>
      <w:r w:rsidRPr="00D962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objective </w:t>
      </w:r>
      <w:r w:rsidRPr="00D96278">
        <w:rPr>
          <w:sz w:val="24"/>
          <w:szCs w:val="24"/>
        </w:rPr>
        <w:t xml:space="preserve">statement explaining the basis for the decision.  </w:t>
      </w:r>
      <w:r w:rsidRPr="002668CB">
        <w:rPr>
          <w:sz w:val="24"/>
          <w:szCs w:val="24"/>
        </w:rPr>
        <w:t>It is important that the person obtaining the quotes set a deadline by which all written quotes must be received or the process may not have closure.  This also ensures that the vendors have an equal opportunity to participate</w:t>
      </w:r>
      <w:r w:rsidRPr="009862AD">
        <w:rPr>
          <w:sz w:val="24"/>
          <w:szCs w:val="24"/>
        </w:rPr>
        <w:t xml:space="preserve">.  </w:t>
      </w:r>
    </w:p>
    <w:p w:rsidR="00844908" w:rsidRDefault="00844908" w:rsidP="006946DA">
      <w:pPr>
        <w:jc w:val="both"/>
        <w:rPr>
          <w:sz w:val="24"/>
          <w:szCs w:val="24"/>
        </w:rPr>
      </w:pPr>
    </w:p>
    <w:p w:rsidR="00D96278" w:rsidRDefault="00D96278" w:rsidP="006946DA">
      <w:pPr>
        <w:jc w:val="both"/>
        <w:rPr>
          <w:sz w:val="24"/>
          <w:szCs w:val="24"/>
        </w:rPr>
      </w:pPr>
    </w:p>
    <w:p w:rsidR="006946DA" w:rsidRPr="00EC27A4" w:rsidRDefault="00D96278" w:rsidP="006946DA">
      <w:pPr>
        <w:jc w:val="both"/>
        <w:rPr>
          <w:sz w:val="24"/>
          <w:szCs w:val="24"/>
        </w:rPr>
      </w:pPr>
      <w:proofErr w:type="gramStart"/>
      <w:r w:rsidRPr="00F15E7B">
        <w:rPr>
          <w:b/>
          <w:sz w:val="24"/>
          <w:szCs w:val="24"/>
          <w:u w:val="single"/>
        </w:rPr>
        <w:t>Audits.</w:t>
      </w:r>
      <w:proofErr w:type="gramEnd"/>
      <w:r>
        <w:rPr>
          <w:sz w:val="24"/>
          <w:szCs w:val="24"/>
        </w:rPr>
        <w:t xml:space="preserve">  </w:t>
      </w:r>
      <w:r w:rsidRPr="00D96278">
        <w:rPr>
          <w:sz w:val="24"/>
          <w:szCs w:val="24"/>
        </w:rPr>
        <w:t xml:space="preserve">All transactions made under </w:t>
      </w:r>
      <w:r w:rsidR="00A12D04">
        <w:rPr>
          <w:sz w:val="24"/>
          <w:szCs w:val="24"/>
        </w:rPr>
        <w:t>R.I. Gen. Laws § 37-2-69</w:t>
      </w:r>
      <w:r w:rsidRPr="00D96278">
        <w:rPr>
          <w:sz w:val="24"/>
          <w:szCs w:val="24"/>
        </w:rPr>
        <w:t xml:space="preserve"> are subject to audit by the Bureau of Audits and the Division.  A</w:t>
      </w:r>
      <w:r>
        <w:rPr>
          <w:sz w:val="24"/>
          <w:szCs w:val="24"/>
        </w:rPr>
        <w:t>udits</w:t>
      </w:r>
      <w:r w:rsidRPr="00D96278">
        <w:rPr>
          <w:sz w:val="24"/>
          <w:szCs w:val="24"/>
        </w:rPr>
        <w:t xml:space="preserve"> concentrate on documentation of competitive solicitations and whether </w:t>
      </w:r>
      <w:r>
        <w:rPr>
          <w:sz w:val="24"/>
          <w:szCs w:val="24"/>
        </w:rPr>
        <w:t>Departments and A</w:t>
      </w:r>
      <w:r w:rsidRPr="00D96278">
        <w:rPr>
          <w:sz w:val="24"/>
          <w:szCs w:val="24"/>
        </w:rPr>
        <w:t>gencies artificially divide purchases.</w:t>
      </w:r>
      <w:r>
        <w:rPr>
          <w:sz w:val="24"/>
          <w:szCs w:val="24"/>
        </w:rPr>
        <w:t xml:space="preserve">  </w:t>
      </w:r>
      <w:r w:rsidR="006946DA" w:rsidRPr="00777AC3">
        <w:rPr>
          <w:sz w:val="24"/>
          <w:szCs w:val="24"/>
        </w:rPr>
        <w:t>As always, Departments and Agencies are cautioned</w:t>
      </w:r>
      <w:r w:rsidR="006946DA" w:rsidRPr="00EC27A4">
        <w:rPr>
          <w:sz w:val="24"/>
          <w:szCs w:val="24"/>
        </w:rPr>
        <w:t xml:space="preserve"> not to artificially divide orders for similar purchases which would result in exceeding the </w:t>
      </w:r>
      <w:r w:rsidR="005D0891">
        <w:rPr>
          <w:sz w:val="24"/>
          <w:szCs w:val="24"/>
        </w:rPr>
        <w:t>$20,000</w:t>
      </w:r>
      <w:r w:rsidR="006946DA" w:rsidRPr="00EC27A4">
        <w:rPr>
          <w:sz w:val="24"/>
          <w:szCs w:val="24"/>
        </w:rPr>
        <w:t xml:space="preserve"> limit.  </w:t>
      </w:r>
    </w:p>
    <w:p w:rsidR="006946DA" w:rsidRPr="00EC27A4" w:rsidRDefault="006946DA" w:rsidP="006946DA">
      <w:pPr>
        <w:rPr>
          <w:sz w:val="24"/>
          <w:szCs w:val="24"/>
        </w:rPr>
      </w:pPr>
    </w:p>
    <w:p w:rsidR="009862AD" w:rsidRPr="00850790" w:rsidRDefault="006946DA" w:rsidP="006946DA">
      <w:pPr>
        <w:rPr>
          <w:sz w:val="24"/>
          <w:szCs w:val="24"/>
        </w:rPr>
      </w:pPr>
      <w:r w:rsidRPr="00850790">
        <w:rPr>
          <w:sz w:val="24"/>
          <w:szCs w:val="24"/>
        </w:rPr>
        <w:t xml:space="preserve">Please </w:t>
      </w:r>
      <w:r w:rsidR="009862AD" w:rsidRPr="00850790">
        <w:rPr>
          <w:sz w:val="24"/>
          <w:szCs w:val="24"/>
        </w:rPr>
        <w:t>attach vendor quotes and list below the vendor names and the date</w:t>
      </w:r>
      <w:r w:rsidR="00850790" w:rsidRPr="00850790">
        <w:rPr>
          <w:sz w:val="24"/>
          <w:szCs w:val="24"/>
        </w:rPr>
        <w:t>/amount</w:t>
      </w:r>
      <w:r w:rsidR="009862AD" w:rsidRPr="00850790">
        <w:rPr>
          <w:sz w:val="24"/>
          <w:szCs w:val="24"/>
        </w:rPr>
        <w:t xml:space="preserve"> of their quotes.</w:t>
      </w:r>
      <w:r w:rsidR="009862AD" w:rsidRPr="00850790">
        <w:rPr>
          <w:sz w:val="24"/>
          <w:szCs w:val="24"/>
        </w:rPr>
        <w:tab/>
      </w:r>
    </w:p>
    <w:p w:rsidR="006946DA" w:rsidRPr="00EC27A4" w:rsidRDefault="006946DA" w:rsidP="006946DA">
      <w:pPr>
        <w:rPr>
          <w:sz w:val="24"/>
          <w:szCs w:val="24"/>
        </w:rPr>
      </w:pPr>
      <w:r w:rsidRPr="00EC27A4">
        <w:rPr>
          <w:sz w:val="24"/>
          <w:szCs w:val="24"/>
        </w:rPr>
        <w:tab/>
      </w:r>
      <w:r w:rsidRPr="00EC27A4">
        <w:rPr>
          <w:sz w:val="24"/>
          <w:szCs w:val="24"/>
        </w:rPr>
        <w:tab/>
      </w:r>
    </w:p>
    <w:tbl>
      <w:tblPr>
        <w:tblStyle w:val="TableGrid"/>
        <w:tblW w:w="10530" w:type="dxa"/>
        <w:jc w:val="center"/>
        <w:tblInd w:w="108" w:type="dxa"/>
        <w:tblLook w:val="04A0" w:firstRow="1" w:lastRow="0" w:firstColumn="1" w:lastColumn="0" w:noHBand="0" w:noVBand="1"/>
      </w:tblPr>
      <w:tblGrid>
        <w:gridCol w:w="2080"/>
        <w:gridCol w:w="3520"/>
        <w:gridCol w:w="1208"/>
        <w:gridCol w:w="1083"/>
        <w:gridCol w:w="2639"/>
      </w:tblGrid>
      <w:tr w:rsidR="008172F1" w:rsidTr="008172F1">
        <w:trPr>
          <w:jc w:val="center"/>
        </w:trPr>
        <w:tc>
          <w:tcPr>
            <w:tcW w:w="2080" w:type="dxa"/>
            <w:vAlign w:val="center"/>
          </w:tcPr>
          <w:p w:rsidR="00D96278" w:rsidRDefault="00D96278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Align w:val="center"/>
          </w:tcPr>
          <w:p w:rsidR="00D96278" w:rsidRPr="008172F1" w:rsidRDefault="00D96278" w:rsidP="00850790">
            <w:pPr>
              <w:jc w:val="center"/>
              <w:rPr>
                <w:b/>
                <w:sz w:val="24"/>
                <w:szCs w:val="24"/>
              </w:rPr>
            </w:pPr>
            <w:r w:rsidRPr="008172F1">
              <w:rPr>
                <w:b/>
                <w:sz w:val="24"/>
                <w:szCs w:val="24"/>
              </w:rPr>
              <w:t>VENDOR NAME</w:t>
            </w:r>
          </w:p>
        </w:tc>
        <w:tc>
          <w:tcPr>
            <w:tcW w:w="1083" w:type="dxa"/>
            <w:vAlign w:val="center"/>
          </w:tcPr>
          <w:p w:rsidR="00D96278" w:rsidRPr="008172F1" w:rsidRDefault="00D96278" w:rsidP="00850790">
            <w:pPr>
              <w:jc w:val="center"/>
              <w:rPr>
                <w:b/>
                <w:sz w:val="24"/>
                <w:szCs w:val="24"/>
              </w:rPr>
            </w:pPr>
            <w:r w:rsidRPr="008172F1">
              <w:rPr>
                <w:b/>
                <w:sz w:val="24"/>
                <w:szCs w:val="24"/>
              </w:rPr>
              <w:t>QUOTE DATE</w:t>
            </w:r>
          </w:p>
        </w:tc>
        <w:tc>
          <w:tcPr>
            <w:tcW w:w="2639" w:type="dxa"/>
            <w:vAlign w:val="center"/>
          </w:tcPr>
          <w:p w:rsidR="00D96278" w:rsidRPr="008172F1" w:rsidRDefault="00D96278" w:rsidP="00850790">
            <w:pPr>
              <w:jc w:val="center"/>
              <w:rPr>
                <w:b/>
                <w:sz w:val="24"/>
                <w:szCs w:val="24"/>
              </w:rPr>
            </w:pPr>
            <w:r w:rsidRPr="008172F1">
              <w:rPr>
                <w:b/>
                <w:sz w:val="24"/>
                <w:szCs w:val="24"/>
              </w:rPr>
              <w:t>QUOTE AMOUNT</w:t>
            </w:r>
          </w:p>
        </w:tc>
      </w:tr>
      <w:tr w:rsidR="008172F1" w:rsidTr="008172F1">
        <w:trPr>
          <w:trHeight w:val="1088"/>
          <w:jc w:val="center"/>
        </w:trPr>
        <w:tc>
          <w:tcPr>
            <w:tcW w:w="2080" w:type="dxa"/>
            <w:vAlign w:val="center"/>
          </w:tcPr>
          <w:p w:rsidR="00560275" w:rsidRPr="008172F1" w:rsidRDefault="00560275" w:rsidP="00850790">
            <w:pPr>
              <w:jc w:val="center"/>
              <w:rPr>
                <w:b/>
                <w:sz w:val="24"/>
                <w:szCs w:val="24"/>
              </w:rPr>
            </w:pPr>
            <w:r w:rsidRPr="008172F1">
              <w:rPr>
                <w:b/>
                <w:sz w:val="24"/>
                <w:szCs w:val="24"/>
              </w:rPr>
              <w:t>MBE/WBE:</w:t>
            </w:r>
          </w:p>
          <w:p w:rsidR="00560275" w:rsidRPr="008172F1" w:rsidRDefault="00560275" w:rsidP="00850790">
            <w:pPr>
              <w:jc w:val="center"/>
              <w:rPr>
                <w:i/>
                <w:sz w:val="18"/>
                <w:szCs w:val="18"/>
              </w:rPr>
            </w:pPr>
            <w:r w:rsidRPr="008172F1">
              <w:rPr>
                <w:i/>
                <w:sz w:val="18"/>
                <w:szCs w:val="18"/>
              </w:rPr>
              <w:t>(if different from Local Vendor)</w:t>
            </w:r>
          </w:p>
        </w:tc>
        <w:tc>
          <w:tcPr>
            <w:tcW w:w="3520" w:type="dxa"/>
            <w:vAlign w:val="center"/>
          </w:tcPr>
          <w:p w:rsidR="00560275" w:rsidRDefault="00560275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60275" w:rsidRDefault="00560275" w:rsidP="00D12AB5">
            <w:pPr>
              <w:ind w:left="-47"/>
              <w:jc w:val="center"/>
              <w:rPr>
                <w:sz w:val="24"/>
                <w:szCs w:val="24"/>
              </w:rPr>
            </w:pPr>
            <w:r w:rsidRPr="00560275">
              <w:rPr>
                <w:sz w:val="18"/>
                <w:szCs w:val="18"/>
              </w:rPr>
              <w:t>Check here if not available:</w:t>
            </w:r>
            <w:r>
              <w:rPr>
                <w:sz w:val="24"/>
                <w:szCs w:val="24"/>
              </w:rPr>
              <w:t xml:space="preserve"> </w:t>
            </w:r>
            <w:r w:rsidRPr="00560275">
              <w:rPr>
                <w:sz w:val="36"/>
                <w:szCs w:val="36"/>
              </w:rPr>
              <w:t>□</w:t>
            </w:r>
          </w:p>
        </w:tc>
        <w:tc>
          <w:tcPr>
            <w:tcW w:w="1083" w:type="dxa"/>
            <w:vAlign w:val="center"/>
          </w:tcPr>
          <w:p w:rsidR="00560275" w:rsidRDefault="00560275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560275" w:rsidRDefault="00560275" w:rsidP="00850790">
            <w:pPr>
              <w:jc w:val="center"/>
              <w:rPr>
                <w:sz w:val="24"/>
                <w:szCs w:val="24"/>
              </w:rPr>
            </w:pPr>
          </w:p>
        </w:tc>
      </w:tr>
      <w:tr w:rsidR="008172F1" w:rsidTr="008172F1">
        <w:trPr>
          <w:trHeight w:val="1052"/>
          <w:jc w:val="center"/>
        </w:trPr>
        <w:tc>
          <w:tcPr>
            <w:tcW w:w="2080" w:type="dxa"/>
            <w:vAlign w:val="center"/>
          </w:tcPr>
          <w:p w:rsidR="00560275" w:rsidRPr="008172F1" w:rsidRDefault="00560275" w:rsidP="00850790">
            <w:pPr>
              <w:jc w:val="center"/>
              <w:rPr>
                <w:b/>
                <w:sz w:val="24"/>
                <w:szCs w:val="24"/>
              </w:rPr>
            </w:pPr>
            <w:r w:rsidRPr="008172F1">
              <w:rPr>
                <w:b/>
                <w:sz w:val="24"/>
                <w:szCs w:val="24"/>
              </w:rPr>
              <w:t>Local Vendor:</w:t>
            </w:r>
          </w:p>
          <w:p w:rsidR="00560275" w:rsidRPr="008172F1" w:rsidRDefault="00560275" w:rsidP="00850790">
            <w:pPr>
              <w:jc w:val="center"/>
              <w:rPr>
                <w:i/>
                <w:sz w:val="18"/>
                <w:szCs w:val="18"/>
              </w:rPr>
            </w:pPr>
            <w:r w:rsidRPr="008172F1">
              <w:rPr>
                <w:i/>
                <w:sz w:val="18"/>
                <w:szCs w:val="18"/>
              </w:rPr>
              <w:t>(if different from MBE/WBE)</w:t>
            </w:r>
          </w:p>
        </w:tc>
        <w:tc>
          <w:tcPr>
            <w:tcW w:w="3520" w:type="dxa"/>
            <w:vAlign w:val="center"/>
          </w:tcPr>
          <w:p w:rsidR="00560275" w:rsidRDefault="00560275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60275" w:rsidRDefault="00560275" w:rsidP="00850790">
            <w:pPr>
              <w:jc w:val="center"/>
              <w:rPr>
                <w:sz w:val="24"/>
                <w:szCs w:val="24"/>
              </w:rPr>
            </w:pPr>
            <w:r w:rsidRPr="00CC2D8B">
              <w:rPr>
                <w:sz w:val="18"/>
                <w:szCs w:val="18"/>
              </w:rPr>
              <w:t>Check here if not available:</w:t>
            </w:r>
            <w:r>
              <w:rPr>
                <w:sz w:val="24"/>
                <w:szCs w:val="24"/>
              </w:rPr>
              <w:t xml:space="preserve"> </w:t>
            </w:r>
            <w:r w:rsidRPr="00CC2D8B">
              <w:rPr>
                <w:sz w:val="36"/>
                <w:szCs w:val="36"/>
              </w:rPr>
              <w:t>□</w:t>
            </w:r>
          </w:p>
        </w:tc>
        <w:tc>
          <w:tcPr>
            <w:tcW w:w="1083" w:type="dxa"/>
            <w:vAlign w:val="center"/>
          </w:tcPr>
          <w:p w:rsidR="00560275" w:rsidRDefault="00560275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560275" w:rsidRDefault="00560275" w:rsidP="00850790">
            <w:pPr>
              <w:jc w:val="center"/>
              <w:rPr>
                <w:sz w:val="24"/>
                <w:szCs w:val="24"/>
              </w:rPr>
            </w:pPr>
          </w:p>
        </w:tc>
      </w:tr>
      <w:tr w:rsidR="00D12AB5" w:rsidTr="008172F1">
        <w:trPr>
          <w:trHeight w:val="1160"/>
          <w:jc w:val="center"/>
        </w:trPr>
        <w:tc>
          <w:tcPr>
            <w:tcW w:w="2080" w:type="dxa"/>
            <w:vAlign w:val="center"/>
          </w:tcPr>
          <w:p w:rsidR="00D12AB5" w:rsidRPr="008172F1" w:rsidRDefault="00D12AB5" w:rsidP="00850790">
            <w:pPr>
              <w:jc w:val="center"/>
              <w:rPr>
                <w:b/>
                <w:sz w:val="24"/>
                <w:szCs w:val="24"/>
              </w:rPr>
            </w:pPr>
            <w:r w:rsidRPr="008172F1">
              <w:rPr>
                <w:b/>
                <w:sz w:val="24"/>
                <w:szCs w:val="24"/>
              </w:rPr>
              <w:t>MBE/WBE &amp; Local Vendor:</w:t>
            </w:r>
          </w:p>
          <w:p w:rsidR="00D12AB5" w:rsidRPr="008172F1" w:rsidRDefault="00D12AB5" w:rsidP="00850790">
            <w:pPr>
              <w:jc w:val="center"/>
              <w:rPr>
                <w:i/>
                <w:sz w:val="18"/>
                <w:szCs w:val="18"/>
              </w:rPr>
            </w:pPr>
            <w:r w:rsidRPr="008172F1">
              <w:rPr>
                <w:i/>
                <w:sz w:val="18"/>
                <w:szCs w:val="18"/>
              </w:rPr>
              <w:t>(if the same)</w:t>
            </w:r>
          </w:p>
        </w:tc>
        <w:tc>
          <w:tcPr>
            <w:tcW w:w="3520" w:type="dxa"/>
            <w:vAlign w:val="center"/>
          </w:tcPr>
          <w:p w:rsidR="00D12AB5" w:rsidRDefault="00D12AB5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12AB5" w:rsidRDefault="00D12AB5" w:rsidP="00850790">
            <w:pPr>
              <w:jc w:val="center"/>
              <w:rPr>
                <w:sz w:val="24"/>
                <w:szCs w:val="24"/>
              </w:rPr>
            </w:pPr>
            <w:r w:rsidRPr="00CC2D8B">
              <w:rPr>
                <w:sz w:val="18"/>
                <w:szCs w:val="18"/>
              </w:rPr>
              <w:t>Check here if not available:</w:t>
            </w:r>
            <w:r>
              <w:rPr>
                <w:sz w:val="24"/>
                <w:szCs w:val="24"/>
              </w:rPr>
              <w:t xml:space="preserve"> </w:t>
            </w:r>
            <w:r w:rsidRPr="00CC2D8B">
              <w:rPr>
                <w:sz w:val="36"/>
                <w:szCs w:val="36"/>
              </w:rPr>
              <w:t>□</w:t>
            </w:r>
          </w:p>
        </w:tc>
        <w:tc>
          <w:tcPr>
            <w:tcW w:w="1083" w:type="dxa"/>
            <w:vAlign w:val="center"/>
          </w:tcPr>
          <w:p w:rsidR="00D12AB5" w:rsidRDefault="00D12AB5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D12AB5" w:rsidRDefault="00D12AB5" w:rsidP="00850790">
            <w:pPr>
              <w:jc w:val="center"/>
              <w:rPr>
                <w:sz w:val="24"/>
                <w:szCs w:val="24"/>
              </w:rPr>
            </w:pPr>
          </w:p>
        </w:tc>
      </w:tr>
      <w:tr w:rsidR="00560275" w:rsidTr="008172F1">
        <w:trPr>
          <w:trHeight w:val="1898"/>
          <w:jc w:val="center"/>
        </w:trPr>
        <w:tc>
          <w:tcPr>
            <w:tcW w:w="2080" w:type="dxa"/>
            <w:vAlign w:val="center"/>
          </w:tcPr>
          <w:p w:rsidR="00560275" w:rsidRPr="008172F1" w:rsidRDefault="00560275" w:rsidP="00560275">
            <w:pPr>
              <w:jc w:val="center"/>
              <w:rPr>
                <w:b/>
                <w:sz w:val="24"/>
                <w:szCs w:val="24"/>
              </w:rPr>
            </w:pPr>
            <w:r w:rsidRPr="008172F1">
              <w:rPr>
                <w:b/>
                <w:sz w:val="24"/>
                <w:szCs w:val="24"/>
              </w:rPr>
              <w:t>1</w:t>
            </w:r>
            <w:r w:rsidRPr="008172F1">
              <w:rPr>
                <w:b/>
                <w:sz w:val="24"/>
                <w:szCs w:val="24"/>
                <w:vertAlign w:val="superscript"/>
              </w:rPr>
              <w:t>st</w:t>
            </w:r>
            <w:r w:rsidRPr="008172F1">
              <w:rPr>
                <w:b/>
                <w:sz w:val="24"/>
                <w:szCs w:val="24"/>
              </w:rPr>
              <w:t xml:space="preserve"> Vendor:</w:t>
            </w:r>
          </w:p>
          <w:p w:rsidR="00560275" w:rsidRPr="008172F1" w:rsidRDefault="00560275" w:rsidP="00560275">
            <w:pPr>
              <w:jc w:val="center"/>
              <w:rPr>
                <w:i/>
                <w:sz w:val="24"/>
                <w:szCs w:val="24"/>
              </w:rPr>
            </w:pPr>
            <w:r w:rsidRPr="008172F1">
              <w:rPr>
                <w:i/>
                <w:sz w:val="18"/>
                <w:szCs w:val="18"/>
              </w:rPr>
              <w:t>(only if MBE/WBE and Local Vendor are both not available - skip this if either MBE/WBE or Local Vendor is available)</w:t>
            </w:r>
          </w:p>
        </w:tc>
        <w:tc>
          <w:tcPr>
            <w:tcW w:w="4728" w:type="dxa"/>
            <w:gridSpan w:val="2"/>
            <w:vAlign w:val="center"/>
          </w:tcPr>
          <w:p w:rsidR="00560275" w:rsidRDefault="00560275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560275" w:rsidRDefault="00560275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560275" w:rsidRDefault="00560275" w:rsidP="00850790">
            <w:pPr>
              <w:jc w:val="center"/>
              <w:rPr>
                <w:sz w:val="24"/>
                <w:szCs w:val="24"/>
              </w:rPr>
            </w:pPr>
          </w:p>
        </w:tc>
      </w:tr>
      <w:tr w:rsidR="008172F1" w:rsidTr="008172F1">
        <w:trPr>
          <w:trHeight w:val="2528"/>
          <w:jc w:val="center"/>
        </w:trPr>
        <w:tc>
          <w:tcPr>
            <w:tcW w:w="2080" w:type="dxa"/>
            <w:vAlign w:val="center"/>
          </w:tcPr>
          <w:p w:rsidR="001F7B96" w:rsidRPr="008172F1" w:rsidRDefault="001F7B96" w:rsidP="00850790">
            <w:pPr>
              <w:jc w:val="center"/>
              <w:rPr>
                <w:b/>
                <w:sz w:val="24"/>
                <w:szCs w:val="24"/>
              </w:rPr>
            </w:pPr>
            <w:r w:rsidRPr="008172F1">
              <w:rPr>
                <w:b/>
                <w:sz w:val="24"/>
                <w:szCs w:val="24"/>
              </w:rPr>
              <w:t>2</w:t>
            </w:r>
            <w:r w:rsidRPr="008172F1">
              <w:rPr>
                <w:b/>
                <w:sz w:val="24"/>
                <w:szCs w:val="24"/>
                <w:vertAlign w:val="superscript"/>
              </w:rPr>
              <w:t>nd</w:t>
            </w:r>
            <w:r w:rsidRPr="008172F1">
              <w:rPr>
                <w:b/>
                <w:sz w:val="24"/>
                <w:szCs w:val="24"/>
              </w:rPr>
              <w:t xml:space="preserve"> Vendor:</w:t>
            </w:r>
          </w:p>
          <w:p w:rsidR="001F7B96" w:rsidRPr="008172F1" w:rsidRDefault="001F7B96" w:rsidP="00D12AB5">
            <w:pPr>
              <w:jc w:val="center"/>
              <w:rPr>
                <w:i/>
                <w:sz w:val="18"/>
                <w:szCs w:val="18"/>
              </w:rPr>
            </w:pPr>
            <w:r w:rsidRPr="008172F1">
              <w:rPr>
                <w:i/>
                <w:sz w:val="18"/>
                <w:szCs w:val="18"/>
              </w:rPr>
              <w:t>(</w:t>
            </w:r>
            <w:r w:rsidR="00D626BD" w:rsidRPr="008172F1">
              <w:rPr>
                <w:i/>
                <w:sz w:val="18"/>
                <w:szCs w:val="18"/>
              </w:rPr>
              <w:t xml:space="preserve">only </w:t>
            </w:r>
            <w:r w:rsidRPr="008172F1">
              <w:rPr>
                <w:i/>
                <w:sz w:val="18"/>
                <w:szCs w:val="18"/>
              </w:rPr>
              <w:t>if MBE/WBE and Local Vendor are the same</w:t>
            </w:r>
            <w:r w:rsidR="00D12AB5" w:rsidRPr="008172F1">
              <w:rPr>
                <w:i/>
                <w:sz w:val="18"/>
                <w:szCs w:val="18"/>
              </w:rPr>
              <w:t xml:space="preserve">, or if either MBE/WBE or Local Vendor are not available - skip this only if </w:t>
            </w:r>
            <w:r w:rsidR="00560275" w:rsidRPr="008172F1">
              <w:rPr>
                <w:i/>
                <w:sz w:val="18"/>
                <w:szCs w:val="18"/>
              </w:rPr>
              <w:t xml:space="preserve">MBE/WBE </w:t>
            </w:r>
            <w:r w:rsidR="00D12AB5" w:rsidRPr="008172F1">
              <w:rPr>
                <w:i/>
                <w:sz w:val="18"/>
                <w:szCs w:val="18"/>
              </w:rPr>
              <w:t>is different from</w:t>
            </w:r>
            <w:r w:rsidR="00560275" w:rsidRPr="008172F1">
              <w:rPr>
                <w:i/>
                <w:sz w:val="18"/>
                <w:szCs w:val="18"/>
              </w:rPr>
              <w:t xml:space="preserve"> Local Vendor</w:t>
            </w:r>
            <w:r w:rsidRPr="008172F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728" w:type="dxa"/>
            <w:gridSpan w:val="2"/>
            <w:vAlign w:val="center"/>
          </w:tcPr>
          <w:p w:rsidR="001F7B96" w:rsidRDefault="001F7B96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1F7B96" w:rsidRDefault="001F7B96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1F7B96" w:rsidRDefault="001F7B96" w:rsidP="00850790">
            <w:pPr>
              <w:jc w:val="center"/>
              <w:rPr>
                <w:sz w:val="24"/>
                <w:szCs w:val="24"/>
              </w:rPr>
            </w:pPr>
          </w:p>
        </w:tc>
      </w:tr>
      <w:tr w:rsidR="008172F1" w:rsidTr="008172F1">
        <w:trPr>
          <w:trHeight w:val="1934"/>
          <w:jc w:val="center"/>
        </w:trPr>
        <w:tc>
          <w:tcPr>
            <w:tcW w:w="2080" w:type="dxa"/>
            <w:vAlign w:val="center"/>
          </w:tcPr>
          <w:p w:rsidR="00D96278" w:rsidRPr="008172F1" w:rsidRDefault="00850790" w:rsidP="00850790">
            <w:pPr>
              <w:jc w:val="center"/>
              <w:rPr>
                <w:b/>
                <w:sz w:val="24"/>
                <w:szCs w:val="24"/>
              </w:rPr>
            </w:pPr>
            <w:r w:rsidRPr="008172F1">
              <w:rPr>
                <w:b/>
                <w:sz w:val="24"/>
                <w:szCs w:val="24"/>
              </w:rPr>
              <w:lastRenderedPageBreak/>
              <w:t>3</w:t>
            </w:r>
            <w:r w:rsidRPr="008172F1">
              <w:rPr>
                <w:b/>
                <w:sz w:val="24"/>
                <w:szCs w:val="24"/>
                <w:vertAlign w:val="superscript"/>
              </w:rPr>
              <w:t>rd</w:t>
            </w:r>
            <w:r w:rsidRPr="008172F1">
              <w:rPr>
                <w:b/>
                <w:sz w:val="24"/>
                <w:szCs w:val="24"/>
              </w:rPr>
              <w:t xml:space="preserve"> Vendor:</w:t>
            </w:r>
          </w:p>
          <w:p w:rsidR="00D626BD" w:rsidRPr="008172F1" w:rsidRDefault="00D626BD" w:rsidP="00850790">
            <w:pPr>
              <w:jc w:val="center"/>
              <w:rPr>
                <w:i/>
                <w:sz w:val="18"/>
                <w:szCs w:val="18"/>
              </w:rPr>
            </w:pPr>
            <w:r w:rsidRPr="008172F1">
              <w:rPr>
                <w:i/>
                <w:sz w:val="18"/>
                <w:szCs w:val="18"/>
              </w:rPr>
              <w:t>(if MBE/WBE is different from Local Vendor</w:t>
            </w:r>
            <w:r w:rsidR="00D12AB5" w:rsidRPr="008172F1">
              <w:rPr>
                <w:i/>
                <w:sz w:val="18"/>
                <w:szCs w:val="18"/>
              </w:rPr>
              <w:t xml:space="preserve"> - do not ever skip this</w:t>
            </w:r>
            <w:r w:rsidRPr="008172F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728" w:type="dxa"/>
            <w:gridSpan w:val="2"/>
            <w:vAlign w:val="center"/>
          </w:tcPr>
          <w:p w:rsidR="00D96278" w:rsidRDefault="00D96278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D96278" w:rsidRDefault="00D96278" w:rsidP="00850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D96278" w:rsidRDefault="00D96278" w:rsidP="008507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46DA" w:rsidRPr="00EC27A4" w:rsidRDefault="006946DA" w:rsidP="006946DA">
      <w:pPr>
        <w:rPr>
          <w:sz w:val="24"/>
          <w:szCs w:val="24"/>
        </w:rPr>
      </w:pPr>
    </w:p>
    <w:p w:rsidR="00850790" w:rsidRDefault="00850790" w:rsidP="006946DA">
      <w:pPr>
        <w:jc w:val="both"/>
        <w:rPr>
          <w:sz w:val="24"/>
          <w:szCs w:val="24"/>
        </w:rPr>
      </w:pPr>
      <w:r>
        <w:rPr>
          <w:sz w:val="24"/>
          <w:szCs w:val="24"/>
        </w:rPr>
        <w:t>Please indicate below the vendor ultimately selected, and, if necessary, provide justification if it was not the lowest bidder.</w:t>
      </w:r>
    </w:p>
    <w:p w:rsidR="00850790" w:rsidRDefault="00850790" w:rsidP="006946DA">
      <w:pPr>
        <w:jc w:val="both"/>
        <w:rPr>
          <w:sz w:val="24"/>
          <w:szCs w:val="24"/>
        </w:rPr>
      </w:pPr>
    </w:p>
    <w:p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  <w:r w:rsidRPr="00850790">
        <w:rPr>
          <w:b/>
          <w:sz w:val="24"/>
          <w:szCs w:val="24"/>
        </w:rPr>
        <w:t>Vendor selected:</w:t>
      </w:r>
      <w:r w:rsidRPr="00850790">
        <w:rPr>
          <w:b/>
          <w:sz w:val="24"/>
          <w:szCs w:val="24"/>
        </w:rPr>
        <w:tab/>
      </w:r>
    </w:p>
    <w:p w:rsidR="00850790" w:rsidRPr="00850790" w:rsidRDefault="00850790" w:rsidP="006946DA">
      <w:pPr>
        <w:jc w:val="both"/>
        <w:rPr>
          <w:b/>
          <w:sz w:val="24"/>
          <w:szCs w:val="24"/>
        </w:rPr>
      </w:pPr>
    </w:p>
    <w:p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  <w:r w:rsidRPr="00850790">
        <w:rPr>
          <w:b/>
          <w:sz w:val="24"/>
          <w:szCs w:val="24"/>
        </w:rPr>
        <w:t>Justification if not the lowest bidder:</w:t>
      </w:r>
      <w:r w:rsidRPr="00850790">
        <w:rPr>
          <w:b/>
          <w:sz w:val="24"/>
          <w:szCs w:val="24"/>
        </w:rPr>
        <w:tab/>
      </w:r>
    </w:p>
    <w:p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</w:p>
    <w:p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  <w:r w:rsidRPr="00850790">
        <w:rPr>
          <w:b/>
          <w:sz w:val="24"/>
          <w:szCs w:val="24"/>
        </w:rPr>
        <w:tab/>
      </w:r>
    </w:p>
    <w:p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</w:p>
    <w:p w:rsidR="00850790" w:rsidRPr="00850790" w:rsidRDefault="00850790" w:rsidP="00850790">
      <w:pPr>
        <w:tabs>
          <w:tab w:val="left" w:leader="underscore" w:pos="9360"/>
        </w:tabs>
        <w:jc w:val="both"/>
        <w:rPr>
          <w:b/>
          <w:sz w:val="24"/>
          <w:szCs w:val="24"/>
        </w:rPr>
      </w:pPr>
      <w:r w:rsidRPr="00850790">
        <w:rPr>
          <w:b/>
          <w:sz w:val="24"/>
          <w:szCs w:val="24"/>
        </w:rPr>
        <w:tab/>
      </w:r>
    </w:p>
    <w:p w:rsidR="00850790" w:rsidRPr="00EC27A4" w:rsidRDefault="00850790" w:rsidP="006946DA">
      <w:pPr>
        <w:jc w:val="both"/>
        <w:rPr>
          <w:sz w:val="24"/>
          <w:szCs w:val="24"/>
        </w:rPr>
      </w:pPr>
    </w:p>
    <w:p w:rsidR="006946DA" w:rsidRPr="00EC27A4" w:rsidRDefault="006946DA" w:rsidP="006946DA">
      <w:pPr>
        <w:rPr>
          <w:sz w:val="24"/>
          <w:szCs w:val="24"/>
        </w:rPr>
      </w:pPr>
      <w:r w:rsidRPr="00EC27A4">
        <w:rPr>
          <w:sz w:val="24"/>
          <w:szCs w:val="24"/>
        </w:rPr>
        <w:t>I certify that the above statements are true and complete to the best of my knowledge.</w:t>
      </w:r>
    </w:p>
    <w:p w:rsidR="006946DA" w:rsidRDefault="006946DA" w:rsidP="006946DA">
      <w:pPr>
        <w:rPr>
          <w:sz w:val="24"/>
          <w:szCs w:val="24"/>
        </w:rPr>
      </w:pPr>
    </w:p>
    <w:p w:rsidR="000856DC" w:rsidRPr="00EC27A4" w:rsidRDefault="000856DC" w:rsidP="00323FA8">
      <w:pPr>
        <w:tabs>
          <w:tab w:val="left" w:leader="underscore" w:pos="3600"/>
          <w:tab w:val="left" w:pos="4320"/>
          <w:tab w:val="left" w:leader="underscore" w:pos="6480"/>
          <w:tab w:val="left" w:pos="7200"/>
          <w:tab w:val="left" w:leader="underscore" w:pos="9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3FA8">
        <w:rPr>
          <w:sz w:val="24"/>
          <w:szCs w:val="24"/>
        </w:rPr>
        <w:tab/>
      </w:r>
      <w:r w:rsidR="00323FA8">
        <w:rPr>
          <w:sz w:val="24"/>
          <w:szCs w:val="24"/>
        </w:rPr>
        <w:tab/>
      </w:r>
    </w:p>
    <w:p w:rsidR="006946DA" w:rsidRPr="00EC27A4" w:rsidRDefault="00323FA8" w:rsidP="00323FA8">
      <w:pPr>
        <w:tabs>
          <w:tab w:val="left" w:pos="0"/>
          <w:tab w:val="left" w:pos="4410"/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Requestor Name</w:t>
      </w:r>
      <w:r>
        <w:rPr>
          <w:sz w:val="24"/>
          <w:szCs w:val="24"/>
        </w:rPr>
        <w:tab/>
      </w:r>
      <w:r w:rsidR="006946DA" w:rsidRPr="00EC27A4">
        <w:rPr>
          <w:sz w:val="24"/>
          <w:szCs w:val="24"/>
        </w:rPr>
        <w:t>Title</w:t>
      </w:r>
      <w:r>
        <w:rPr>
          <w:sz w:val="24"/>
          <w:szCs w:val="24"/>
        </w:rPr>
        <w:tab/>
      </w:r>
      <w:r w:rsidR="006946DA" w:rsidRPr="00EC27A4">
        <w:rPr>
          <w:sz w:val="24"/>
          <w:szCs w:val="24"/>
        </w:rPr>
        <w:t>Date</w:t>
      </w:r>
    </w:p>
    <w:p w:rsidR="006946DA" w:rsidRPr="00EC27A4" w:rsidRDefault="006946DA" w:rsidP="006946DA">
      <w:pPr>
        <w:rPr>
          <w:sz w:val="24"/>
          <w:szCs w:val="24"/>
        </w:rPr>
      </w:pPr>
    </w:p>
    <w:p w:rsidR="00413222" w:rsidRDefault="00323FA8" w:rsidP="00323FA8">
      <w:pPr>
        <w:tabs>
          <w:tab w:val="left" w:leader="underscore" w:pos="3600"/>
          <w:tab w:val="left" w:pos="4320"/>
          <w:tab w:val="left" w:leader="underscore" w:pos="6480"/>
          <w:tab w:val="left" w:pos="7200"/>
          <w:tab w:val="left" w:leader="underscore" w:pos="9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946DA" w:rsidRDefault="00323FA8" w:rsidP="00323FA8">
      <w:pPr>
        <w:tabs>
          <w:tab w:val="left" w:pos="4410"/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User Agency Approval</w:t>
      </w:r>
      <w:r>
        <w:rPr>
          <w:sz w:val="24"/>
          <w:szCs w:val="24"/>
        </w:rPr>
        <w:tab/>
      </w:r>
      <w:r w:rsidR="006946DA" w:rsidRPr="00EC27A4">
        <w:rPr>
          <w:sz w:val="24"/>
          <w:szCs w:val="24"/>
        </w:rPr>
        <w:t>Title</w:t>
      </w:r>
      <w:r w:rsidR="006946DA" w:rsidRPr="00EC27A4">
        <w:rPr>
          <w:sz w:val="24"/>
          <w:szCs w:val="24"/>
        </w:rPr>
        <w:tab/>
        <w:t>Date</w:t>
      </w:r>
    </w:p>
    <w:p w:rsidR="00560275" w:rsidRPr="008172F1" w:rsidRDefault="00560275" w:rsidP="00323FA8">
      <w:pPr>
        <w:tabs>
          <w:tab w:val="left" w:pos="4410"/>
          <w:tab w:val="left" w:pos="7290"/>
        </w:tabs>
        <w:rPr>
          <w:b/>
          <w:sz w:val="24"/>
          <w:szCs w:val="24"/>
        </w:rPr>
      </w:pPr>
      <w:r w:rsidRPr="008172F1">
        <w:rPr>
          <w:b/>
          <w:sz w:val="24"/>
          <w:szCs w:val="24"/>
        </w:rPr>
        <w:t>---------------------------------------------------------------------------------------------------------------------</w:t>
      </w:r>
    </w:p>
    <w:p w:rsidR="00560275" w:rsidRDefault="00560275" w:rsidP="00323FA8">
      <w:pPr>
        <w:tabs>
          <w:tab w:val="left" w:pos="4410"/>
          <w:tab w:val="left" w:pos="7290"/>
        </w:tabs>
        <w:rPr>
          <w:sz w:val="24"/>
          <w:szCs w:val="24"/>
        </w:rPr>
      </w:pPr>
    </w:p>
    <w:p w:rsidR="00560275" w:rsidRPr="00560275" w:rsidRDefault="00560275" w:rsidP="00323FA8">
      <w:pPr>
        <w:tabs>
          <w:tab w:val="left" w:pos="4410"/>
          <w:tab w:val="left" w:pos="7290"/>
        </w:tabs>
        <w:rPr>
          <w:b/>
          <w:sz w:val="24"/>
          <w:szCs w:val="24"/>
          <w:u w:val="single"/>
        </w:rPr>
      </w:pPr>
      <w:r w:rsidRPr="00560275">
        <w:rPr>
          <w:b/>
          <w:sz w:val="24"/>
          <w:szCs w:val="24"/>
          <w:u w:val="single"/>
        </w:rPr>
        <w:t>FOR DIVISION OF PURCHASES USE ONLY:</w:t>
      </w:r>
    </w:p>
    <w:p w:rsidR="00560275" w:rsidRDefault="00560275" w:rsidP="00323FA8">
      <w:pPr>
        <w:tabs>
          <w:tab w:val="left" w:pos="4410"/>
          <w:tab w:val="left" w:pos="7290"/>
        </w:tabs>
        <w:rPr>
          <w:sz w:val="24"/>
          <w:szCs w:val="24"/>
        </w:rPr>
      </w:pPr>
    </w:p>
    <w:p w:rsidR="00413222" w:rsidRPr="00560275" w:rsidRDefault="00413222" w:rsidP="00323FA8">
      <w:pPr>
        <w:tabs>
          <w:tab w:val="left" w:pos="4410"/>
          <w:tab w:val="left" w:pos="7290"/>
        </w:tabs>
        <w:rPr>
          <w:sz w:val="24"/>
          <w:szCs w:val="24"/>
          <w:u w:val="single"/>
        </w:rPr>
      </w:pPr>
      <w:r w:rsidRPr="00560275">
        <w:rPr>
          <w:sz w:val="24"/>
          <w:szCs w:val="24"/>
          <w:u w:val="single"/>
        </w:rPr>
        <w:t>APPROVED BY:</w:t>
      </w:r>
    </w:p>
    <w:p w:rsidR="00413222" w:rsidRDefault="00413222" w:rsidP="00323FA8">
      <w:pPr>
        <w:tabs>
          <w:tab w:val="left" w:pos="4410"/>
          <w:tab w:val="left" w:pos="7290"/>
        </w:tabs>
        <w:rPr>
          <w:sz w:val="24"/>
          <w:szCs w:val="24"/>
        </w:rPr>
      </w:pPr>
    </w:p>
    <w:p w:rsidR="00560275" w:rsidRDefault="00560275" w:rsidP="00323FA8">
      <w:pPr>
        <w:tabs>
          <w:tab w:val="left" w:pos="4410"/>
          <w:tab w:val="left" w:pos="7290"/>
        </w:tabs>
        <w:rPr>
          <w:sz w:val="24"/>
          <w:szCs w:val="24"/>
        </w:rPr>
      </w:pPr>
    </w:p>
    <w:p w:rsidR="00413222" w:rsidRDefault="00413222" w:rsidP="00413222">
      <w:pPr>
        <w:tabs>
          <w:tab w:val="left" w:leader="underscore" w:pos="4320"/>
          <w:tab w:val="left" w:pos="5760"/>
          <w:tab w:val="left" w:leader="underscore" w:pos="72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222" w:rsidRDefault="00413222" w:rsidP="00413222">
      <w:pPr>
        <w:tabs>
          <w:tab w:val="left" w:pos="4320"/>
          <w:tab w:val="left" w:pos="5760"/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State Purchasing Agent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413222" w:rsidRDefault="00413222" w:rsidP="00413222">
      <w:pPr>
        <w:tabs>
          <w:tab w:val="left" w:pos="4320"/>
          <w:tab w:val="left" w:pos="7290"/>
        </w:tabs>
        <w:rPr>
          <w:sz w:val="24"/>
          <w:szCs w:val="24"/>
        </w:rPr>
      </w:pPr>
    </w:p>
    <w:p w:rsidR="00413222" w:rsidRDefault="00413222" w:rsidP="00413222">
      <w:pPr>
        <w:tabs>
          <w:tab w:val="left" w:pos="4320"/>
          <w:tab w:val="left" w:pos="7290"/>
        </w:tabs>
        <w:rPr>
          <w:sz w:val="24"/>
          <w:szCs w:val="24"/>
        </w:rPr>
      </w:pPr>
    </w:p>
    <w:p w:rsidR="00413222" w:rsidRDefault="00413222" w:rsidP="00413222">
      <w:pPr>
        <w:tabs>
          <w:tab w:val="left" w:leader="underscore" w:pos="4320"/>
          <w:tab w:val="left" w:pos="5760"/>
          <w:tab w:val="left" w:leader="underscore" w:pos="72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6210" w:rsidRPr="006946DA" w:rsidRDefault="00413222">
      <w:pPr>
        <w:rPr>
          <w:sz w:val="16"/>
          <w:szCs w:val="16"/>
        </w:rPr>
      </w:pPr>
      <w:r>
        <w:rPr>
          <w:sz w:val="24"/>
          <w:szCs w:val="24"/>
        </w:rPr>
        <w:t>Director/Chief Purchasing Officer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72F1">
        <w:rPr>
          <w:sz w:val="24"/>
          <w:szCs w:val="24"/>
        </w:rPr>
        <w:tab/>
      </w:r>
      <w:r w:rsidR="008172F1">
        <w:rPr>
          <w:sz w:val="24"/>
          <w:szCs w:val="24"/>
        </w:rPr>
        <w:tab/>
      </w:r>
      <w:r>
        <w:rPr>
          <w:sz w:val="24"/>
          <w:szCs w:val="24"/>
        </w:rPr>
        <w:t>Date</w:t>
      </w:r>
    </w:p>
    <w:sectPr w:rsidR="00D66210" w:rsidRPr="006946DA" w:rsidSect="00837E1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D9" w:rsidRDefault="00647CD9" w:rsidP="00D02F14">
      <w:r>
        <w:separator/>
      </w:r>
    </w:p>
  </w:endnote>
  <w:endnote w:type="continuationSeparator" w:id="0">
    <w:p w:rsidR="00647CD9" w:rsidRDefault="00647CD9" w:rsidP="00D0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D9" w:rsidRDefault="00647CD9" w:rsidP="00D02F14">
      <w:r>
        <w:separator/>
      </w:r>
    </w:p>
  </w:footnote>
  <w:footnote w:type="continuationSeparator" w:id="0">
    <w:p w:rsidR="00647CD9" w:rsidRDefault="00647CD9" w:rsidP="00D0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C3" w:rsidRDefault="000C02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0257"/>
    <w:multiLevelType w:val="hybridMultilevel"/>
    <w:tmpl w:val="A6160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B3757"/>
    <w:multiLevelType w:val="hybridMultilevel"/>
    <w:tmpl w:val="6AE6720A"/>
    <w:lvl w:ilvl="0" w:tplc="EBFCBC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DA"/>
    <w:rsid w:val="00020A51"/>
    <w:rsid w:val="000856DC"/>
    <w:rsid w:val="000B5E7C"/>
    <w:rsid w:val="000C02C3"/>
    <w:rsid w:val="000E74CB"/>
    <w:rsid w:val="00121687"/>
    <w:rsid w:val="00177AEB"/>
    <w:rsid w:val="00182BB7"/>
    <w:rsid w:val="001869A6"/>
    <w:rsid w:val="0019057A"/>
    <w:rsid w:val="001951CF"/>
    <w:rsid w:val="001A201C"/>
    <w:rsid w:val="001A66FF"/>
    <w:rsid w:val="001F7B96"/>
    <w:rsid w:val="002140A0"/>
    <w:rsid w:val="002668CB"/>
    <w:rsid w:val="00323FA8"/>
    <w:rsid w:val="00381348"/>
    <w:rsid w:val="003920EC"/>
    <w:rsid w:val="003D4A3C"/>
    <w:rsid w:val="00413222"/>
    <w:rsid w:val="004739F6"/>
    <w:rsid w:val="004A27AB"/>
    <w:rsid w:val="004B7E94"/>
    <w:rsid w:val="00560275"/>
    <w:rsid w:val="005A5E1B"/>
    <w:rsid w:val="005D0891"/>
    <w:rsid w:val="005F091E"/>
    <w:rsid w:val="00647CD9"/>
    <w:rsid w:val="006946DA"/>
    <w:rsid w:val="006F3CBA"/>
    <w:rsid w:val="0070785B"/>
    <w:rsid w:val="007345FA"/>
    <w:rsid w:val="00777AC3"/>
    <w:rsid w:val="00810A5C"/>
    <w:rsid w:val="008172F1"/>
    <w:rsid w:val="00837E11"/>
    <w:rsid w:val="00844908"/>
    <w:rsid w:val="00850790"/>
    <w:rsid w:val="00886A87"/>
    <w:rsid w:val="00975045"/>
    <w:rsid w:val="009862AD"/>
    <w:rsid w:val="009D31A1"/>
    <w:rsid w:val="00A01799"/>
    <w:rsid w:val="00A12D04"/>
    <w:rsid w:val="00A311E6"/>
    <w:rsid w:val="00A52DC2"/>
    <w:rsid w:val="00B2220B"/>
    <w:rsid w:val="00C373F1"/>
    <w:rsid w:val="00CA5EA0"/>
    <w:rsid w:val="00CE740E"/>
    <w:rsid w:val="00CF599C"/>
    <w:rsid w:val="00D02F14"/>
    <w:rsid w:val="00D11C15"/>
    <w:rsid w:val="00D12AB5"/>
    <w:rsid w:val="00D36768"/>
    <w:rsid w:val="00D563A5"/>
    <w:rsid w:val="00D6182E"/>
    <w:rsid w:val="00D626BD"/>
    <w:rsid w:val="00D66210"/>
    <w:rsid w:val="00D96278"/>
    <w:rsid w:val="00DB315C"/>
    <w:rsid w:val="00DC3495"/>
    <w:rsid w:val="00E2789B"/>
    <w:rsid w:val="00E859A5"/>
    <w:rsid w:val="00E954AD"/>
    <w:rsid w:val="00F15E7B"/>
    <w:rsid w:val="00F3476C"/>
    <w:rsid w:val="00F614BF"/>
    <w:rsid w:val="00F7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46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6D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0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68CB"/>
    <w:pPr>
      <w:ind w:left="720"/>
      <w:contextualSpacing/>
    </w:pPr>
  </w:style>
  <w:style w:type="table" w:styleId="TableGrid">
    <w:name w:val="Table Grid"/>
    <w:basedOn w:val="TableNormal"/>
    <w:uiPriority w:val="59"/>
    <w:rsid w:val="00D9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46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6D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0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68CB"/>
    <w:pPr>
      <w:ind w:left="720"/>
      <w:contextualSpacing/>
    </w:pPr>
  </w:style>
  <w:style w:type="table" w:styleId="TableGrid">
    <w:name w:val="Table Grid"/>
    <w:basedOn w:val="TableNormal"/>
    <w:uiPriority w:val="59"/>
    <w:rsid w:val="00D9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766C-EFB3-4ACB-8FAB-AA60E5E3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Sligar, Michael (DOA)</dc:creator>
  <cp:lastModifiedBy>OConnor, Christine (DOA)</cp:lastModifiedBy>
  <cp:revision>3</cp:revision>
  <cp:lastPrinted>2014-05-27T23:01:00Z</cp:lastPrinted>
  <dcterms:created xsi:type="dcterms:W3CDTF">2014-11-21T20:12:00Z</dcterms:created>
  <dcterms:modified xsi:type="dcterms:W3CDTF">2014-11-21T20:58:00Z</dcterms:modified>
</cp:coreProperties>
</file>