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AC971D" w14:textId="45AD8B30" w:rsidR="007568F2" w:rsidRDefault="00D75B41" w:rsidP="007568F2">
      <w:pPr>
        <w:spacing w:before="120"/>
        <w:ind w:left="187"/>
        <w:rPr>
          <w:b/>
          <w:color w:val="FFFFFF" w:themeColor="background1"/>
        </w:rPr>
      </w:pPr>
      <w:r w:rsidRPr="007568F2">
        <w:rPr>
          <w:i/>
          <w:noProof/>
          <w:sz w:val="20"/>
          <w:szCs w:val="20"/>
        </w:rPr>
        <w:drawing>
          <wp:anchor distT="0" distB="0" distL="114300" distR="114300" simplePos="0" relativeHeight="251696128" behindDoc="1" locked="0" layoutInCell="1" allowOverlap="1" wp14:anchorId="0038F66E" wp14:editId="76B33BD2">
            <wp:simplePos x="0" y="0"/>
            <wp:positionH relativeFrom="margin">
              <wp:posOffset>97790</wp:posOffset>
            </wp:positionH>
            <wp:positionV relativeFrom="paragraph">
              <wp:posOffset>59880</wp:posOffset>
            </wp:positionV>
            <wp:extent cx="2541320" cy="719095"/>
            <wp:effectExtent l="0" t="0" r="0" b="5080"/>
            <wp:wrapNone/>
            <wp:docPr id="1" name="Picture 1" descr="Rhode Island Division of Purcha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hode Island Division of Purchases"/>
                    <pic:cNvPicPr>
                      <a:picLocks noChangeAspect="1" noChangeArrowheads="1"/>
                    </pic:cNvPicPr>
                  </pic:nvPicPr>
                  <pic:blipFill rotWithShape="1">
                    <a:blip r:embed="rId8">
                      <a:extLst>
                        <a:ext uri="{28A0092B-C50C-407E-A947-70E740481C1C}">
                          <a14:useLocalDpi xmlns:a14="http://schemas.microsoft.com/office/drawing/2010/main" val="0"/>
                        </a:ext>
                      </a:extLst>
                    </a:blip>
                    <a:srcRect r="34871"/>
                    <a:stretch/>
                  </pic:blipFill>
                  <pic:spPr bwMode="auto">
                    <a:xfrm>
                      <a:off x="0" y="0"/>
                      <a:ext cx="2541320" cy="71909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7568F2" w:rsidRPr="007568F2">
        <w:rPr>
          <w:i/>
          <w:noProof/>
          <w:sz w:val="20"/>
          <w:szCs w:val="20"/>
        </w:rPr>
        <mc:AlternateContent>
          <mc:Choice Requires="wps">
            <w:drawing>
              <wp:anchor distT="45720" distB="45720" distL="114300" distR="114300" simplePos="0" relativeHeight="251697152" behindDoc="0" locked="0" layoutInCell="1" allowOverlap="1" wp14:anchorId="5B40BEC6" wp14:editId="2A7686B3">
                <wp:simplePos x="0" y="0"/>
                <wp:positionH relativeFrom="column">
                  <wp:posOffset>3662385</wp:posOffset>
                </wp:positionH>
                <wp:positionV relativeFrom="paragraph">
                  <wp:posOffset>222708</wp:posOffset>
                </wp:positionV>
                <wp:extent cx="4539615" cy="44767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39615" cy="447675"/>
                        </a:xfrm>
                        <a:prstGeom prst="rect">
                          <a:avLst/>
                        </a:prstGeom>
                        <a:noFill/>
                        <a:ln w="9525">
                          <a:noFill/>
                          <a:miter lim="800000"/>
                          <a:headEnd/>
                          <a:tailEnd/>
                        </a:ln>
                      </wps:spPr>
                      <wps:txbx>
                        <w:txbxContent>
                          <w:p w14:paraId="14BC93FD" w14:textId="77777777" w:rsidR="007568F2" w:rsidRPr="00D75B41" w:rsidRDefault="007568F2" w:rsidP="007568F2">
                            <w:pPr>
                              <w:jc w:val="center"/>
                              <w:rPr>
                                <w:b/>
                                <w:color w:val="FFFFFF" w:themeColor="background1"/>
                                <w:sz w:val="32"/>
                                <w:szCs w:val="32"/>
                              </w:rPr>
                            </w:pPr>
                            <w:r w:rsidRPr="00D75B41">
                              <w:rPr>
                                <w:b/>
                                <w:color w:val="FFFFFF" w:themeColor="background1"/>
                                <w:sz w:val="32"/>
                                <w:szCs w:val="32"/>
                              </w:rPr>
                              <w:t>Critical Information to Include in an RFP</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5B40BEC6" id="_x0000_t202" coordsize="21600,21600" o:spt="202" path="m,l,21600r21600,l21600,xe">
                <v:stroke joinstyle="miter"/>
                <v:path gradientshapeok="t" o:connecttype="rect"/>
              </v:shapetype>
              <v:shape id="Text Box 2" o:spid="_x0000_s1026" type="#_x0000_t202" style="position:absolute;left:0;text-align:left;margin-left:288.4pt;margin-top:17.55pt;width:357.45pt;height:35.25pt;z-index:2516971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" filled="f" stroked="f">
                <v:textbox>
                  <w:txbxContent>
                    <w:p w14:paraId="14BC93FD" w14:textId="77777777" w:rsidR="007568F2" w:rsidRPr="00D75B41" w:rsidRDefault="007568F2" w:rsidP="007568F2">
                      <w:pPr>
                        <w:jc w:val="center"/>
                        <w:rPr>
                          <w:b/>
                          <w:color w:val="FFFFFF" w:themeColor="background1"/>
                          <w:sz w:val="32"/>
                          <w:szCs w:val="32"/>
                        </w:rPr>
                      </w:pPr>
                      <w:r w:rsidRPr="00D75B41">
                        <w:rPr>
                          <w:b/>
                          <w:color w:val="FFFFFF" w:themeColor="background1"/>
                          <w:sz w:val="32"/>
                          <w:szCs w:val="32"/>
                        </w:rPr>
                        <w:t>Critical Information to Include in an RFP</w:t>
                      </w:r>
                    </w:p>
                  </w:txbxContent>
                </v:textbox>
                <w10:wrap type="square"/>
              </v:shape>
            </w:pict>
          </mc:Fallback>
        </mc:AlternateContent>
      </w:r>
      <w:r w:rsidR="007568F2" w:rsidRPr="007568F2">
        <w:rPr>
          <w:i/>
          <w:noProof/>
          <w:sz w:val="20"/>
          <w:szCs w:val="20"/>
        </w:rPr>
        <mc:AlternateContent>
          <mc:Choice Requires="wps">
            <w:drawing>
              <wp:anchor distT="0" distB="0" distL="114300" distR="114300" simplePos="0" relativeHeight="251695104" behindDoc="1" locked="0" layoutInCell="1" allowOverlap="1" wp14:anchorId="0B84F055" wp14:editId="0604B0B1">
                <wp:simplePos x="0" y="0"/>
                <wp:positionH relativeFrom="margin">
                  <wp:align>right</wp:align>
                </wp:positionH>
                <wp:positionV relativeFrom="paragraph">
                  <wp:posOffset>0</wp:posOffset>
                </wp:positionV>
                <wp:extent cx="8676168" cy="833755"/>
                <wp:effectExtent l="0" t="0" r="10795" b="23495"/>
                <wp:wrapNone/>
                <wp:docPr id="2" name="Rectangle 2"/>
                <wp:cNvGraphicFramePr/>
                <a:graphic xmlns:a="http://schemas.openxmlformats.org/drawingml/2006/main">
                  <a:graphicData uri="http://schemas.microsoft.com/office/word/2010/wordprocessingShape">
                    <wps:wsp>
                      <wps:cNvSpPr/>
                      <wps:spPr>
                        <a:xfrm>
                          <a:off x="0" y="0"/>
                          <a:ext cx="8676168" cy="833755"/>
                        </a:xfrm>
                        <a:prstGeom prst="rect">
                          <a:avLst/>
                        </a:prstGeom>
                        <a:solidFill>
                          <a:srgbClr val="003A67"/>
                        </a:solidFill>
                        <a:ln>
                          <a:solidFill>
                            <a:srgbClr val="003A67"/>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B2CC45" id="Rectangle 2" o:spid="_x0000_s1026" style="position:absolute;margin-left:631.95pt;margin-top:0;width:683.15pt;height:65.65pt;z-index:-25162137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" fillcolor="#003a67" strokecolor="#003a67" strokeweight="1pt">
                <w10:wrap anchorx="margin"/>
              </v:rect>
            </w:pict>
          </mc:Fallback>
        </mc:AlternateContent>
      </w:r>
      <w:r w:rsidR="007C0877">
        <w:rPr>
          <w:b/>
          <w:color w:val="FFFFFF" w:themeColor="background1"/>
        </w:rPr>
        <w:t xml:space="preserve"> </w:t>
      </w:r>
    </w:p>
    <w:p w14:paraId="322DF0E7" w14:textId="77777777" w:rsidR="007568F2" w:rsidRDefault="007568F2" w:rsidP="007568F2">
      <w:pPr>
        <w:spacing w:before="120"/>
        <w:ind w:left="187"/>
        <w:rPr>
          <w:b/>
          <w:color w:val="FFFFFF" w:themeColor="background1"/>
        </w:rPr>
      </w:pPr>
    </w:p>
    <w:p w14:paraId="277F9EB2" w14:textId="77777777" w:rsidR="007568F2" w:rsidRDefault="007568F2" w:rsidP="007568F2">
      <w:pPr>
        <w:spacing w:before="120"/>
        <w:ind w:left="187"/>
        <w:rPr>
          <w:i/>
          <w:sz w:val="20"/>
          <w:szCs w:val="20"/>
        </w:rPr>
      </w:pPr>
    </w:p>
    <w:p w14:paraId="7A7B2FD6" w14:textId="77777777" w:rsidR="003218D3" w:rsidRDefault="003218D3" w:rsidP="00554743">
      <w:pPr>
        <w:rPr>
          <w:i/>
          <w:sz w:val="20"/>
          <w:szCs w:val="20"/>
        </w:rPr>
      </w:pPr>
    </w:p>
    <w:p w14:paraId="65F7D5CC" w14:textId="08F001A1" w:rsidR="00483014" w:rsidRPr="00683BBC" w:rsidRDefault="00483014" w:rsidP="00554743">
      <w:pPr>
        <w:rPr>
          <w:i/>
          <w:sz w:val="20"/>
          <w:szCs w:val="20"/>
        </w:rPr>
      </w:pPr>
      <w:r w:rsidRPr="00683BBC">
        <w:rPr>
          <w:i/>
          <w:sz w:val="20"/>
          <w:szCs w:val="20"/>
        </w:rPr>
        <w:t>Completing thi</w:t>
      </w:r>
      <w:r w:rsidR="007C0877" w:rsidRPr="00683BBC">
        <w:rPr>
          <w:i/>
          <w:sz w:val="20"/>
          <w:szCs w:val="20"/>
        </w:rPr>
        <w:t xml:space="preserve">s worksheet allows your team to </w:t>
      </w:r>
      <w:r w:rsidR="00C32682">
        <w:rPr>
          <w:i/>
          <w:sz w:val="20"/>
          <w:szCs w:val="20"/>
        </w:rPr>
        <w:t>translate</w:t>
      </w:r>
      <w:r w:rsidR="007C0877" w:rsidRPr="00683BBC">
        <w:rPr>
          <w:i/>
          <w:sz w:val="20"/>
          <w:szCs w:val="20"/>
        </w:rPr>
        <w:t xml:space="preserve"> important takeaways from the “needs assessment” stage of procurement into a solicitation document. Ensuring your solicitation document clearly communicates the answers to each question below sets your contract</w:t>
      </w:r>
      <w:r w:rsidR="0000243A" w:rsidRPr="00683BBC">
        <w:rPr>
          <w:i/>
          <w:sz w:val="20"/>
          <w:szCs w:val="20"/>
        </w:rPr>
        <w:t>s</w:t>
      </w:r>
      <w:r w:rsidR="007C0877" w:rsidRPr="00683BBC">
        <w:rPr>
          <w:i/>
          <w:sz w:val="20"/>
          <w:szCs w:val="20"/>
        </w:rPr>
        <w:t xml:space="preserve"> up </w:t>
      </w:r>
      <w:r w:rsidR="0000243A" w:rsidRPr="00683BBC">
        <w:rPr>
          <w:i/>
          <w:sz w:val="20"/>
          <w:szCs w:val="20"/>
        </w:rPr>
        <w:t>to achieve better outcomes for your department</w:t>
      </w:r>
      <w:r w:rsidR="007C0877" w:rsidRPr="00683BBC">
        <w:rPr>
          <w:i/>
          <w:sz w:val="20"/>
          <w:szCs w:val="20"/>
        </w:rPr>
        <w:t>.</w:t>
      </w:r>
      <w:r w:rsidR="00D20BC3" w:rsidRPr="00683BBC">
        <w:rPr>
          <w:i/>
          <w:sz w:val="20"/>
          <w:szCs w:val="20"/>
        </w:rPr>
        <w:t xml:space="preserve"> </w:t>
      </w:r>
    </w:p>
    <w:tbl>
      <w:tblPr>
        <w:tblStyle w:val="TableGrid"/>
        <w:tblW w:w="13675" w:type="dxa"/>
        <w:tblCellMar>
          <w:left w:w="115" w:type="dxa"/>
          <w:bottom w:w="58" w:type="dxa"/>
          <w:right w:w="115" w:type="dxa"/>
        </w:tblCellMar>
        <w:tblLook w:val="04A0" w:firstRow="1" w:lastRow="0" w:firstColumn="1" w:lastColumn="0" w:noHBand="0" w:noVBand="1"/>
      </w:tblPr>
      <w:tblGrid>
        <w:gridCol w:w="4855"/>
        <w:gridCol w:w="4558"/>
        <w:gridCol w:w="4262"/>
      </w:tblGrid>
      <w:tr w:rsidR="009427C0" w14:paraId="58766607" w14:textId="77777777" w:rsidTr="00307C90">
        <w:trPr>
          <w:trHeight w:val="548"/>
        </w:trPr>
        <w:tc>
          <w:tcPr>
            <w:tcW w:w="4855" w:type="dxa"/>
            <w:shd w:val="clear" w:color="auto" w:fill="D5DCE4" w:themeFill="text2" w:themeFillTint="33"/>
            <w:vAlign w:val="center"/>
          </w:tcPr>
          <w:p w14:paraId="6FD1E9B8" w14:textId="77777777" w:rsidR="0000243A" w:rsidRDefault="0000243A" w:rsidP="00B97E78">
            <w:pPr>
              <w:jc w:val="center"/>
              <w:rPr>
                <w:b/>
              </w:rPr>
            </w:pPr>
            <w:r>
              <w:rPr>
                <w:b/>
              </w:rPr>
              <w:t>Advance Strategic Priorities</w:t>
            </w:r>
          </w:p>
          <w:p w14:paraId="63002649" w14:textId="77777777" w:rsidR="009427C0" w:rsidRPr="00683BBC" w:rsidRDefault="0000243A" w:rsidP="0000243A">
            <w:pPr>
              <w:jc w:val="center"/>
              <w:rPr>
                <w:i/>
                <w:sz w:val="20"/>
                <w:szCs w:val="20"/>
              </w:rPr>
            </w:pPr>
            <w:r w:rsidRPr="00683BBC">
              <w:rPr>
                <w:i/>
                <w:sz w:val="20"/>
                <w:szCs w:val="20"/>
              </w:rPr>
              <w:t xml:space="preserve">Align the procurement with department strategy and program goals </w:t>
            </w:r>
          </w:p>
        </w:tc>
        <w:tc>
          <w:tcPr>
            <w:tcW w:w="4558" w:type="dxa"/>
            <w:shd w:val="clear" w:color="auto" w:fill="D5DCE4" w:themeFill="text2" w:themeFillTint="33"/>
            <w:vAlign w:val="center"/>
          </w:tcPr>
          <w:p w14:paraId="17C9B4D6" w14:textId="77777777" w:rsidR="0000243A" w:rsidRDefault="0000243A" w:rsidP="00DA19A6">
            <w:pPr>
              <w:jc w:val="center"/>
              <w:rPr>
                <w:b/>
              </w:rPr>
            </w:pPr>
            <w:r>
              <w:rPr>
                <w:b/>
              </w:rPr>
              <w:t>Encourage Innovation</w:t>
            </w:r>
          </w:p>
          <w:p w14:paraId="302B21F4" w14:textId="77777777" w:rsidR="009427C0" w:rsidRPr="00683BBC" w:rsidRDefault="0000243A" w:rsidP="0000243A">
            <w:pPr>
              <w:jc w:val="center"/>
              <w:rPr>
                <w:i/>
                <w:sz w:val="20"/>
                <w:szCs w:val="20"/>
              </w:rPr>
            </w:pPr>
            <w:r w:rsidRPr="00683BBC">
              <w:rPr>
                <w:i/>
                <w:sz w:val="20"/>
                <w:szCs w:val="20"/>
              </w:rPr>
              <w:t>Articulate a vision of success while leaving appropriate flexibility for creative solutions</w:t>
            </w:r>
          </w:p>
        </w:tc>
        <w:tc>
          <w:tcPr>
            <w:tcW w:w="4262" w:type="dxa"/>
            <w:shd w:val="clear" w:color="auto" w:fill="D5DCE4" w:themeFill="text2" w:themeFillTint="33"/>
            <w:vAlign w:val="center"/>
          </w:tcPr>
          <w:p w14:paraId="01C24790" w14:textId="77777777" w:rsidR="009427C0" w:rsidRDefault="0000243A" w:rsidP="00B97E78">
            <w:pPr>
              <w:jc w:val="center"/>
              <w:rPr>
                <w:b/>
              </w:rPr>
            </w:pPr>
            <w:r>
              <w:rPr>
                <w:b/>
              </w:rPr>
              <w:t>Prepare for Active Contract Management</w:t>
            </w:r>
          </w:p>
          <w:p w14:paraId="15402274" w14:textId="77777777" w:rsidR="0000243A" w:rsidRPr="00683BBC" w:rsidRDefault="00683BBC" w:rsidP="00683BBC">
            <w:pPr>
              <w:jc w:val="center"/>
              <w:rPr>
                <w:i/>
                <w:sz w:val="20"/>
                <w:szCs w:val="20"/>
              </w:rPr>
            </w:pPr>
            <w:r w:rsidRPr="00683BBC">
              <w:rPr>
                <w:i/>
                <w:sz w:val="20"/>
                <w:szCs w:val="20"/>
              </w:rPr>
              <w:t xml:space="preserve">Set the stage for collaborating </w:t>
            </w:r>
            <w:r w:rsidR="0000243A" w:rsidRPr="00683BBC">
              <w:rPr>
                <w:i/>
                <w:sz w:val="20"/>
                <w:szCs w:val="20"/>
              </w:rPr>
              <w:t xml:space="preserve">with vendors to </w:t>
            </w:r>
            <w:r w:rsidRPr="00683BBC">
              <w:rPr>
                <w:i/>
                <w:sz w:val="20"/>
                <w:szCs w:val="20"/>
              </w:rPr>
              <w:t xml:space="preserve">use data and </w:t>
            </w:r>
            <w:r w:rsidR="0000243A" w:rsidRPr="00683BBC">
              <w:rPr>
                <w:i/>
                <w:sz w:val="20"/>
                <w:szCs w:val="20"/>
              </w:rPr>
              <w:t xml:space="preserve">improve performance </w:t>
            </w:r>
            <w:r w:rsidRPr="00683BBC">
              <w:rPr>
                <w:i/>
                <w:sz w:val="20"/>
                <w:szCs w:val="20"/>
              </w:rPr>
              <w:t>over time</w:t>
            </w:r>
          </w:p>
        </w:tc>
      </w:tr>
      <w:tr w:rsidR="007568F2" w14:paraId="25B2E113" w14:textId="77777777" w:rsidTr="00514FCE">
        <w:trPr>
          <w:trHeight w:val="737"/>
        </w:trPr>
        <w:tc>
          <w:tcPr>
            <w:tcW w:w="4855" w:type="dxa"/>
          </w:tcPr>
          <w:p w14:paraId="5134F9A0" w14:textId="77777777" w:rsidR="007568F2" w:rsidRDefault="007568F2" w:rsidP="00683BBC">
            <w:pPr>
              <w:pStyle w:val="ListParagraph"/>
              <w:numPr>
                <w:ilvl w:val="0"/>
                <w:numId w:val="1"/>
              </w:numPr>
              <w:ind w:left="420" w:hanging="270"/>
              <w:rPr>
                <w:sz w:val="20"/>
                <w:szCs w:val="20"/>
              </w:rPr>
            </w:pPr>
            <w:r>
              <w:rPr>
                <w:sz w:val="20"/>
                <w:szCs w:val="20"/>
              </w:rPr>
              <w:t>What is the problem this procurement is intended to help address? Specifically:</w:t>
            </w:r>
          </w:p>
          <w:p w14:paraId="78595C38" w14:textId="77777777" w:rsidR="007568F2" w:rsidRDefault="007568F2" w:rsidP="00683BBC">
            <w:pPr>
              <w:pStyle w:val="ListParagraph"/>
              <w:numPr>
                <w:ilvl w:val="1"/>
                <w:numId w:val="1"/>
              </w:numPr>
              <w:ind w:left="960"/>
              <w:rPr>
                <w:sz w:val="20"/>
                <w:szCs w:val="20"/>
              </w:rPr>
            </w:pPr>
            <w:r>
              <w:rPr>
                <w:sz w:val="20"/>
                <w:szCs w:val="20"/>
              </w:rPr>
              <w:t>What outcome goal(s) is the department trying to make progress on?</w:t>
            </w:r>
          </w:p>
          <w:p w14:paraId="1733BC2B" w14:textId="77777777" w:rsidR="007568F2" w:rsidRPr="007568F2" w:rsidRDefault="007568F2" w:rsidP="007568F2">
            <w:pPr>
              <w:pStyle w:val="ListParagraph"/>
              <w:numPr>
                <w:ilvl w:val="1"/>
                <w:numId w:val="1"/>
              </w:numPr>
              <w:ind w:left="960"/>
              <w:rPr>
                <w:sz w:val="20"/>
                <w:szCs w:val="20"/>
              </w:rPr>
            </w:pPr>
            <w:r>
              <w:rPr>
                <w:sz w:val="20"/>
                <w:szCs w:val="20"/>
              </w:rPr>
              <w:t>What is the gap between where we are today and where we want to be?</w:t>
            </w:r>
          </w:p>
        </w:tc>
        <w:tc>
          <w:tcPr>
            <w:tcW w:w="4558" w:type="dxa"/>
          </w:tcPr>
          <w:p w14:paraId="36C67FC9" w14:textId="77777777" w:rsidR="007568F2" w:rsidRPr="00582C6E" w:rsidRDefault="007568F2" w:rsidP="00670AE1">
            <w:pPr>
              <w:pStyle w:val="ListParagraph"/>
              <w:numPr>
                <w:ilvl w:val="0"/>
                <w:numId w:val="2"/>
              </w:numPr>
              <w:ind w:left="391" w:hanging="270"/>
              <w:rPr>
                <w:sz w:val="20"/>
                <w:szCs w:val="20"/>
              </w:rPr>
            </w:pPr>
            <w:r>
              <w:rPr>
                <w:sz w:val="20"/>
                <w:szCs w:val="20"/>
              </w:rPr>
              <w:t>What elements of the scope of work are required?</w:t>
            </w:r>
          </w:p>
        </w:tc>
        <w:tc>
          <w:tcPr>
            <w:tcW w:w="4262" w:type="dxa"/>
          </w:tcPr>
          <w:p w14:paraId="78210467" w14:textId="77777777" w:rsidR="007568F2" w:rsidRPr="00C12999" w:rsidRDefault="00F72504" w:rsidP="00F72504">
            <w:pPr>
              <w:pStyle w:val="ListParagraph"/>
              <w:numPr>
                <w:ilvl w:val="0"/>
                <w:numId w:val="3"/>
              </w:numPr>
              <w:ind w:left="464"/>
              <w:rPr>
                <w:sz w:val="20"/>
                <w:szCs w:val="20"/>
              </w:rPr>
            </w:pPr>
            <w:r>
              <w:rPr>
                <w:sz w:val="20"/>
                <w:szCs w:val="20"/>
              </w:rPr>
              <w:t>What language will you include in the draft contract attached to the RFP to communicate your department’s expectations for vendors around the performance objectives and priorities defined in question 1?</w:t>
            </w:r>
          </w:p>
        </w:tc>
      </w:tr>
      <w:tr w:rsidR="00514FCE" w14:paraId="08DE9F1A" w14:textId="77777777" w:rsidTr="003432F0">
        <w:trPr>
          <w:trHeight w:val="1095"/>
        </w:trPr>
        <w:tc>
          <w:tcPr>
            <w:tcW w:w="4855" w:type="dxa"/>
            <w:vMerge w:val="restart"/>
          </w:tcPr>
          <w:p w14:paraId="5A7160E7" w14:textId="77777777" w:rsidR="00514FCE" w:rsidRDefault="00514FCE" w:rsidP="009D123F">
            <w:pPr>
              <w:pStyle w:val="ListParagraph"/>
              <w:numPr>
                <w:ilvl w:val="0"/>
                <w:numId w:val="1"/>
              </w:numPr>
              <w:ind w:left="420" w:hanging="270"/>
              <w:rPr>
                <w:sz w:val="20"/>
                <w:szCs w:val="20"/>
              </w:rPr>
            </w:pPr>
            <w:r>
              <w:rPr>
                <w:sz w:val="20"/>
                <w:szCs w:val="20"/>
              </w:rPr>
              <w:t>How will you measure whether you have made progress on the goal(s) you defined in question 1? Specifically:</w:t>
            </w:r>
          </w:p>
          <w:p w14:paraId="62B0A8B3" w14:textId="01F03B34" w:rsidR="00514FCE" w:rsidRPr="003218D3" w:rsidRDefault="00514FCE" w:rsidP="003218D3">
            <w:pPr>
              <w:pStyle w:val="ListParagraph"/>
              <w:numPr>
                <w:ilvl w:val="1"/>
                <w:numId w:val="1"/>
              </w:numPr>
              <w:ind w:left="960"/>
              <w:rPr>
                <w:sz w:val="20"/>
                <w:szCs w:val="20"/>
              </w:rPr>
            </w:pPr>
            <w:r>
              <w:rPr>
                <w:sz w:val="20"/>
                <w:szCs w:val="20"/>
              </w:rPr>
              <w:t>Which metrics can be used in the RFP to orient vendors toward your vision of success?</w:t>
            </w:r>
          </w:p>
        </w:tc>
        <w:tc>
          <w:tcPr>
            <w:tcW w:w="4558" w:type="dxa"/>
            <w:vMerge w:val="restart"/>
          </w:tcPr>
          <w:p w14:paraId="2E44D22A" w14:textId="77777777" w:rsidR="00514FCE" w:rsidRDefault="00514FCE" w:rsidP="00670AE1">
            <w:pPr>
              <w:pStyle w:val="ListParagraph"/>
              <w:numPr>
                <w:ilvl w:val="0"/>
                <w:numId w:val="2"/>
              </w:numPr>
              <w:ind w:left="391" w:hanging="270"/>
              <w:rPr>
                <w:sz w:val="20"/>
                <w:szCs w:val="20"/>
              </w:rPr>
            </w:pPr>
            <w:r>
              <w:rPr>
                <w:sz w:val="20"/>
                <w:szCs w:val="20"/>
              </w:rPr>
              <w:t>Where could you adjust the scope of work to allow vendors flexibility to develop innovative solutions?</w:t>
            </w:r>
          </w:p>
          <w:p w14:paraId="213F67C2" w14:textId="77777777" w:rsidR="00514FCE" w:rsidRDefault="00514FCE" w:rsidP="00670AE1">
            <w:pPr>
              <w:pStyle w:val="ListParagraph"/>
              <w:numPr>
                <w:ilvl w:val="1"/>
                <w:numId w:val="2"/>
              </w:numPr>
              <w:ind w:left="931"/>
              <w:rPr>
                <w:sz w:val="20"/>
                <w:szCs w:val="20"/>
              </w:rPr>
            </w:pPr>
            <w:r w:rsidRPr="00B52F51">
              <w:rPr>
                <w:sz w:val="20"/>
                <w:szCs w:val="20"/>
              </w:rPr>
              <w:t>Which specifications and requirement</w:t>
            </w:r>
            <w:r>
              <w:rPr>
                <w:sz w:val="20"/>
                <w:szCs w:val="20"/>
              </w:rPr>
              <w:t>s can be loosened or eliminated?</w:t>
            </w:r>
          </w:p>
          <w:p w14:paraId="187C306E" w14:textId="77777777" w:rsidR="00514FCE" w:rsidRDefault="00514FCE" w:rsidP="00670AE1">
            <w:pPr>
              <w:pStyle w:val="ListParagraph"/>
              <w:numPr>
                <w:ilvl w:val="1"/>
                <w:numId w:val="2"/>
              </w:numPr>
              <w:ind w:left="931"/>
              <w:rPr>
                <w:sz w:val="20"/>
                <w:szCs w:val="20"/>
              </w:rPr>
            </w:pPr>
            <w:r>
              <w:rPr>
                <w:sz w:val="20"/>
                <w:szCs w:val="20"/>
              </w:rPr>
              <w:t>How can you shift focus to</w:t>
            </w:r>
            <w:r w:rsidRPr="00B52F51">
              <w:rPr>
                <w:sz w:val="20"/>
                <w:szCs w:val="20"/>
              </w:rPr>
              <w:t xml:space="preserve"> “what” the department is trying to achieve, rather than </w:t>
            </w:r>
            <w:r w:rsidR="003737A1">
              <w:rPr>
                <w:sz w:val="20"/>
                <w:szCs w:val="20"/>
              </w:rPr>
              <w:t xml:space="preserve">limiting </w:t>
            </w:r>
            <w:r w:rsidRPr="00B52F51">
              <w:rPr>
                <w:sz w:val="20"/>
                <w:szCs w:val="20"/>
              </w:rPr>
              <w:t>“how”?</w:t>
            </w:r>
          </w:p>
          <w:p w14:paraId="6F5AB337" w14:textId="77777777" w:rsidR="00514FCE" w:rsidRDefault="00514FCE" w:rsidP="00670AE1">
            <w:pPr>
              <w:pStyle w:val="ListParagraph"/>
              <w:numPr>
                <w:ilvl w:val="1"/>
                <w:numId w:val="2"/>
              </w:numPr>
              <w:ind w:left="931"/>
              <w:rPr>
                <w:sz w:val="20"/>
                <w:szCs w:val="20"/>
              </w:rPr>
            </w:pPr>
            <w:r>
              <w:rPr>
                <w:sz w:val="20"/>
                <w:szCs w:val="20"/>
              </w:rPr>
              <w:t>Where can you ask vendors to use their expertise to propose an appropriate standard, rather than imposing one?</w:t>
            </w:r>
          </w:p>
        </w:tc>
        <w:tc>
          <w:tcPr>
            <w:tcW w:w="4262" w:type="dxa"/>
            <w:tcBorders>
              <w:bottom w:val="single" w:sz="4" w:space="0" w:color="auto"/>
            </w:tcBorders>
          </w:tcPr>
          <w:p w14:paraId="059A3B39" w14:textId="77777777" w:rsidR="00514FCE" w:rsidRDefault="00514FCE" w:rsidP="00670AE1">
            <w:pPr>
              <w:pStyle w:val="ListParagraph"/>
              <w:numPr>
                <w:ilvl w:val="0"/>
                <w:numId w:val="3"/>
              </w:numPr>
              <w:ind w:left="451"/>
              <w:rPr>
                <w:sz w:val="20"/>
                <w:szCs w:val="20"/>
              </w:rPr>
            </w:pPr>
            <w:r w:rsidRPr="00C12999">
              <w:rPr>
                <w:sz w:val="20"/>
                <w:szCs w:val="20"/>
              </w:rPr>
              <w:t>What expectations around reporting, meeting, and data will you include in</w:t>
            </w:r>
            <w:r>
              <w:rPr>
                <w:sz w:val="20"/>
                <w:szCs w:val="20"/>
              </w:rPr>
              <w:t xml:space="preserve"> both the RFP and</w:t>
            </w:r>
            <w:r w:rsidRPr="00C12999">
              <w:rPr>
                <w:sz w:val="20"/>
                <w:szCs w:val="20"/>
              </w:rPr>
              <w:t xml:space="preserve"> the</w:t>
            </w:r>
            <w:r>
              <w:rPr>
                <w:sz w:val="20"/>
                <w:szCs w:val="20"/>
              </w:rPr>
              <w:t xml:space="preserve"> attached draft</w:t>
            </w:r>
            <w:r w:rsidRPr="00C12999">
              <w:rPr>
                <w:sz w:val="20"/>
                <w:szCs w:val="20"/>
              </w:rPr>
              <w:t xml:space="preserve"> contract to set vendors up for Active Contract Management and continual performance improvement?</w:t>
            </w:r>
          </w:p>
        </w:tc>
      </w:tr>
      <w:tr w:rsidR="00514FCE" w14:paraId="3D0F71B3" w14:textId="77777777" w:rsidTr="00514FCE">
        <w:trPr>
          <w:trHeight w:val="737"/>
        </w:trPr>
        <w:tc>
          <w:tcPr>
            <w:tcW w:w="4855" w:type="dxa"/>
            <w:vMerge/>
            <w:tcBorders>
              <w:bottom w:val="single" w:sz="4" w:space="0" w:color="auto"/>
            </w:tcBorders>
          </w:tcPr>
          <w:p w14:paraId="5F8A4E0F" w14:textId="77777777" w:rsidR="00514FCE" w:rsidRDefault="00514FCE" w:rsidP="009D123F">
            <w:pPr>
              <w:pStyle w:val="ListParagraph"/>
              <w:numPr>
                <w:ilvl w:val="0"/>
                <w:numId w:val="1"/>
              </w:numPr>
              <w:ind w:left="420" w:hanging="270"/>
              <w:rPr>
                <w:sz w:val="20"/>
                <w:szCs w:val="20"/>
              </w:rPr>
            </w:pPr>
          </w:p>
        </w:tc>
        <w:tc>
          <w:tcPr>
            <w:tcW w:w="4558" w:type="dxa"/>
            <w:vMerge/>
          </w:tcPr>
          <w:p w14:paraId="57E17655" w14:textId="77777777" w:rsidR="00514FCE" w:rsidRDefault="00514FCE" w:rsidP="00670AE1">
            <w:pPr>
              <w:pStyle w:val="ListParagraph"/>
              <w:numPr>
                <w:ilvl w:val="0"/>
                <w:numId w:val="2"/>
              </w:numPr>
              <w:ind w:left="391" w:hanging="270"/>
              <w:rPr>
                <w:sz w:val="20"/>
                <w:szCs w:val="20"/>
              </w:rPr>
            </w:pPr>
          </w:p>
        </w:tc>
        <w:tc>
          <w:tcPr>
            <w:tcW w:w="4262" w:type="dxa"/>
            <w:vMerge w:val="restart"/>
          </w:tcPr>
          <w:p w14:paraId="7F856F65" w14:textId="77777777" w:rsidR="00514FCE" w:rsidRPr="00C12999" w:rsidRDefault="00514FCE" w:rsidP="00670AE1">
            <w:pPr>
              <w:pStyle w:val="ListParagraph"/>
              <w:numPr>
                <w:ilvl w:val="0"/>
                <w:numId w:val="3"/>
              </w:numPr>
              <w:ind w:left="451"/>
              <w:rPr>
                <w:sz w:val="20"/>
                <w:szCs w:val="20"/>
              </w:rPr>
            </w:pPr>
            <w:r>
              <w:rPr>
                <w:sz w:val="20"/>
                <w:szCs w:val="20"/>
              </w:rPr>
              <w:t>What contract and payment structure best aligns vendor incentives with cost-effective performance? Where might there be opportunities to link provider payments to results? What contract term or length is most appropriate?</w:t>
            </w:r>
          </w:p>
        </w:tc>
      </w:tr>
      <w:tr w:rsidR="00514FCE" w14:paraId="699FE531" w14:textId="77777777" w:rsidTr="00514FCE">
        <w:trPr>
          <w:trHeight w:val="638"/>
        </w:trPr>
        <w:tc>
          <w:tcPr>
            <w:tcW w:w="4855" w:type="dxa"/>
            <w:vMerge w:val="restart"/>
          </w:tcPr>
          <w:p w14:paraId="1489AB2F" w14:textId="77777777" w:rsidR="00514FCE" w:rsidRDefault="00514FCE" w:rsidP="007568F2">
            <w:pPr>
              <w:pStyle w:val="ListParagraph"/>
              <w:numPr>
                <w:ilvl w:val="0"/>
                <w:numId w:val="1"/>
              </w:numPr>
              <w:ind w:left="420" w:hanging="270"/>
              <w:rPr>
                <w:sz w:val="20"/>
                <w:szCs w:val="20"/>
              </w:rPr>
            </w:pPr>
            <w:r>
              <w:rPr>
                <w:sz w:val="20"/>
                <w:szCs w:val="20"/>
              </w:rPr>
              <w:t>Who is the target population, or intended users, for this product or service? Describe this population and their needs.</w:t>
            </w:r>
          </w:p>
        </w:tc>
        <w:tc>
          <w:tcPr>
            <w:tcW w:w="4558" w:type="dxa"/>
            <w:vMerge/>
          </w:tcPr>
          <w:p w14:paraId="0078E4AC" w14:textId="77777777" w:rsidR="00514FCE" w:rsidRDefault="00514FCE" w:rsidP="00670AE1">
            <w:pPr>
              <w:pStyle w:val="ListParagraph"/>
              <w:numPr>
                <w:ilvl w:val="1"/>
                <w:numId w:val="2"/>
              </w:numPr>
              <w:ind w:left="931"/>
              <w:rPr>
                <w:sz w:val="20"/>
                <w:szCs w:val="20"/>
              </w:rPr>
            </w:pPr>
          </w:p>
        </w:tc>
        <w:tc>
          <w:tcPr>
            <w:tcW w:w="4262" w:type="dxa"/>
            <w:vMerge/>
          </w:tcPr>
          <w:p w14:paraId="38E94F9C" w14:textId="77777777" w:rsidR="00514FCE" w:rsidRDefault="00514FCE" w:rsidP="00670AE1">
            <w:pPr>
              <w:pStyle w:val="ListParagraph"/>
              <w:numPr>
                <w:ilvl w:val="0"/>
                <w:numId w:val="3"/>
              </w:numPr>
              <w:ind w:left="451"/>
              <w:rPr>
                <w:sz w:val="20"/>
                <w:szCs w:val="20"/>
              </w:rPr>
            </w:pPr>
          </w:p>
        </w:tc>
      </w:tr>
      <w:tr w:rsidR="00514FCE" w14:paraId="1D995595" w14:textId="77777777" w:rsidTr="00307C90">
        <w:trPr>
          <w:trHeight w:val="244"/>
        </w:trPr>
        <w:tc>
          <w:tcPr>
            <w:tcW w:w="4855" w:type="dxa"/>
            <w:vMerge/>
          </w:tcPr>
          <w:p w14:paraId="36288615" w14:textId="77777777" w:rsidR="00514FCE" w:rsidRPr="007568F2" w:rsidRDefault="00514FCE" w:rsidP="007568F2">
            <w:pPr>
              <w:pStyle w:val="ListParagraph"/>
              <w:numPr>
                <w:ilvl w:val="0"/>
                <w:numId w:val="1"/>
              </w:numPr>
              <w:ind w:left="420" w:hanging="270"/>
              <w:rPr>
                <w:sz w:val="20"/>
                <w:szCs w:val="20"/>
              </w:rPr>
            </w:pPr>
          </w:p>
        </w:tc>
        <w:tc>
          <w:tcPr>
            <w:tcW w:w="4558" w:type="dxa"/>
            <w:vMerge w:val="restart"/>
          </w:tcPr>
          <w:p w14:paraId="4BACA214" w14:textId="77777777" w:rsidR="00514FCE" w:rsidRPr="003218D3" w:rsidRDefault="00514FCE" w:rsidP="003218D3">
            <w:pPr>
              <w:pStyle w:val="ListParagraph"/>
              <w:numPr>
                <w:ilvl w:val="0"/>
                <w:numId w:val="5"/>
              </w:numPr>
              <w:ind w:left="421" w:hanging="270"/>
              <w:rPr>
                <w:sz w:val="20"/>
                <w:szCs w:val="20"/>
              </w:rPr>
            </w:pPr>
            <w:r w:rsidRPr="003218D3">
              <w:rPr>
                <w:sz w:val="20"/>
                <w:szCs w:val="20"/>
              </w:rPr>
              <w:t>Which priorities are most important to integrate into scoring criteria? Consider:</w:t>
            </w:r>
          </w:p>
          <w:p w14:paraId="38D2B9ED" w14:textId="77777777" w:rsidR="00514FCE" w:rsidRDefault="00514FCE" w:rsidP="003218D3">
            <w:pPr>
              <w:pStyle w:val="ListParagraph"/>
              <w:numPr>
                <w:ilvl w:val="1"/>
                <w:numId w:val="5"/>
              </w:numPr>
              <w:ind w:left="961"/>
              <w:rPr>
                <w:sz w:val="20"/>
                <w:szCs w:val="20"/>
              </w:rPr>
            </w:pPr>
            <w:r>
              <w:rPr>
                <w:sz w:val="20"/>
                <w:szCs w:val="20"/>
              </w:rPr>
              <w:t>Measuring past performance, if appropriate</w:t>
            </w:r>
          </w:p>
          <w:p w14:paraId="073378B7" w14:textId="77777777" w:rsidR="00514FCE" w:rsidRDefault="00514FCE" w:rsidP="003218D3">
            <w:pPr>
              <w:pStyle w:val="ListParagraph"/>
              <w:numPr>
                <w:ilvl w:val="1"/>
                <w:numId w:val="5"/>
              </w:numPr>
              <w:ind w:left="961"/>
              <w:rPr>
                <w:sz w:val="20"/>
                <w:szCs w:val="20"/>
              </w:rPr>
            </w:pPr>
            <w:r w:rsidRPr="00582C6E">
              <w:rPr>
                <w:sz w:val="20"/>
                <w:szCs w:val="20"/>
              </w:rPr>
              <w:t xml:space="preserve">Asking vendors to justify the proposal’s </w:t>
            </w:r>
            <w:r>
              <w:rPr>
                <w:sz w:val="20"/>
                <w:szCs w:val="20"/>
              </w:rPr>
              <w:t>potential to achieve the goal(s) identified in question 1</w:t>
            </w:r>
          </w:p>
        </w:tc>
        <w:tc>
          <w:tcPr>
            <w:tcW w:w="4262" w:type="dxa"/>
            <w:vMerge w:val="restart"/>
          </w:tcPr>
          <w:p w14:paraId="5CAAC01F" w14:textId="77777777" w:rsidR="00514FCE" w:rsidRPr="00F72504" w:rsidRDefault="00514FCE" w:rsidP="00670AE1">
            <w:pPr>
              <w:pStyle w:val="ListParagraph"/>
              <w:numPr>
                <w:ilvl w:val="0"/>
                <w:numId w:val="3"/>
              </w:numPr>
              <w:ind w:left="451"/>
              <w:rPr>
                <w:sz w:val="20"/>
                <w:szCs w:val="20"/>
              </w:rPr>
            </w:pPr>
            <w:r>
              <w:rPr>
                <w:sz w:val="20"/>
                <w:szCs w:val="20"/>
              </w:rPr>
              <w:t>What are the biggest risks to the success of this procurement and contract? How will you mitigate these?</w:t>
            </w:r>
          </w:p>
        </w:tc>
      </w:tr>
      <w:tr w:rsidR="00F72504" w14:paraId="1790ABA0" w14:textId="77777777" w:rsidTr="00C734B6">
        <w:trPr>
          <w:trHeight w:val="1221"/>
        </w:trPr>
        <w:tc>
          <w:tcPr>
            <w:tcW w:w="4855" w:type="dxa"/>
            <w:tcBorders>
              <w:bottom w:val="single" w:sz="4" w:space="0" w:color="auto"/>
            </w:tcBorders>
          </w:tcPr>
          <w:p w14:paraId="1E74F352" w14:textId="09BE4E95" w:rsidR="00F72504" w:rsidRDefault="00F72504" w:rsidP="00670AE1">
            <w:pPr>
              <w:pStyle w:val="ListParagraph"/>
              <w:numPr>
                <w:ilvl w:val="0"/>
                <w:numId w:val="4"/>
              </w:numPr>
              <w:ind w:left="423" w:hanging="270"/>
              <w:rPr>
                <w:sz w:val="20"/>
                <w:szCs w:val="20"/>
              </w:rPr>
            </w:pPr>
            <w:r w:rsidRPr="007568F2">
              <w:rPr>
                <w:sz w:val="20"/>
                <w:szCs w:val="20"/>
              </w:rPr>
              <w:t>What other insights came out of your needs assessment work (see the “Needs Assessment Worksheet”</w:t>
            </w:r>
            <w:r w:rsidR="00AB6732">
              <w:rPr>
                <w:sz w:val="20"/>
                <w:szCs w:val="20"/>
              </w:rPr>
              <w:t xml:space="preserve"> </w:t>
            </w:r>
            <w:r w:rsidR="00AB6732">
              <w:t xml:space="preserve">at the Purchases online </w:t>
            </w:r>
            <w:hyperlink r:id="rId9" w:history="1">
              <w:r w:rsidR="00AB6732" w:rsidRPr="00C5007A">
                <w:rPr>
                  <w:rStyle w:val="Hyperlink"/>
                </w:rPr>
                <w:t>Agency Procu</w:t>
              </w:r>
              <w:r w:rsidR="00AB6732" w:rsidRPr="00C5007A">
                <w:rPr>
                  <w:rStyle w:val="Hyperlink"/>
                  <w:rFonts w:ascii="Calibri" w:eastAsia="Times New Roman" w:hAnsi="Calibri" w:cs="Segoe UI"/>
                </w:rPr>
                <w:t>rement Library</w:t>
              </w:r>
            </w:hyperlink>
            <w:r w:rsidRPr="007568F2">
              <w:rPr>
                <w:sz w:val="20"/>
                <w:szCs w:val="20"/>
              </w:rPr>
              <w:t>) that would help potential vendors prepare useful and creative proposals? Use the RFP to clearly communicate these.</w:t>
            </w:r>
          </w:p>
        </w:tc>
        <w:tc>
          <w:tcPr>
            <w:tcW w:w="4558" w:type="dxa"/>
            <w:vMerge/>
            <w:tcBorders>
              <w:bottom w:val="single" w:sz="4" w:space="0" w:color="auto"/>
            </w:tcBorders>
          </w:tcPr>
          <w:p w14:paraId="07A7617E" w14:textId="77777777" w:rsidR="00F72504" w:rsidRDefault="00F72504" w:rsidP="00670AE1">
            <w:pPr>
              <w:pStyle w:val="ListParagraph"/>
              <w:numPr>
                <w:ilvl w:val="0"/>
                <w:numId w:val="5"/>
              </w:numPr>
              <w:rPr>
                <w:sz w:val="20"/>
                <w:szCs w:val="20"/>
              </w:rPr>
            </w:pPr>
          </w:p>
        </w:tc>
        <w:tc>
          <w:tcPr>
            <w:tcW w:w="4262" w:type="dxa"/>
            <w:vMerge/>
            <w:tcBorders>
              <w:bottom w:val="single" w:sz="4" w:space="0" w:color="auto"/>
            </w:tcBorders>
          </w:tcPr>
          <w:p w14:paraId="3B53C3F0" w14:textId="77777777" w:rsidR="00F72504" w:rsidRPr="00C57373" w:rsidRDefault="00F72504" w:rsidP="00670AE1">
            <w:pPr>
              <w:pStyle w:val="ListParagraph"/>
              <w:numPr>
                <w:ilvl w:val="0"/>
                <w:numId w:val="3"/>
              </w:numPr>
              <w:ind w:left="451"/>
              <w:rPr>
                <w:sz w:val="20"/>
                <w:szCs w:val="20"/>
              </w:rPr>
            </w:pPr>
          </w:p>
        </w:tc>
      </w:tr>
    </w:tbl>
    <w:p w14:paraId="2414E002" w14:textId="77777777" w:rsidR="004377D7" w:rsidRDefault="004377D7" w:rsidP="00C32682"/>
    <w:p w14:paraId="4FE2801F" w14:textId="77777777" w:rsidR="00F401C9" w:rsidRDefault="00F401C9">
      <w:pPr>
        <w:sectPr w:rsidR="00F401C9" w:rsidSect="007568F2">
          <w:headerReference w:type="default" r:id="rId10"/>
          <w:footerReference w:type="default" r:id="rId11"/>
          <w:pgSz w:w="15840" w:h="12240" w:orient="landscape"/>
          <w:pgMar w:top="1080" w:right="1080" w:bottom="1080" w:left="1080" w:header="720" w:footer="720" w:gutter="0"/>
          <w:cols w:space="720"/>
          <w:docGrid w:linePitch="360"/>
        </w:sectPr>
      </w:pPr>
    </w:p>
    <w:p w14:paraId="789B32FE" w14:textId="7C97C518" w:rsidR="00DB6F60" w:rsidRDefault="00945DDB" w:rsidP="003218D3">
      <w:pPr>
        <w:tabs>
          <w:tab w:val="center" w:pos="6840"/>
        </w:tabs>
      </w:pPr>
      <w:r w:rsidRPr="007568F2">
        <w:rPr>
          <w:i/>
          <w:noProof/>
          <w:sz w:val="20"/>
          <w:szCs w:val="20"/>
        </w:rPr>
        <w:lastRenderedPageBreak/>
        <mc:AlternateContent>
          <mc:Choice Requires="wps">
            <w:drawing>
              <wp:anchor distT="0" distB="0" distL="114300" distR="114300" simplePos="0" relativeHeight="251699200" behindDoc="1" locked="0" layoutInCell="1" allowOverlap="1" wp14:anchorId="7CFB3889" wp14:editId="4CB4CF7D">
                <wp:simplePos x="0" y="0"/>
                <wp:positionH relativeFrom="page">
                  <wp:align>right</wp:align>
                </wp:positionH>
                <wp:positionV relativeFrom="paragraph">
                  <wp:posOffset>3048</wp:posOffset>
                </wp:positionV>
                <wp:extent cx="7083552" cy="280416"/>
                <wp:effectExtent l="0" t="0" r="22225" b="24765"/>
                <wp:wrapNone/>
                <wp:docPr id="3" name="Rectangle 3"/>
                <wp:cNvGraphicFramePr/>
                <a:graphic xmlns:a="http://schemas.openxmlformats.org/drawingml/2006/main">
                  <a:graphicData uri="http://schemas.microsoft.com/office/word/2010/wordprocessingShape">
                    <wps:wsp>
                      <wps:cNvSpPr/>
                      <wps:spPr>
                        <a:xfrm>
                          <a:off x="0" y="0"/>
                          <a:ext cx="7083552" cy="280416"/>
                        </a:xfrm>
                        <a:prstGeom prst="rect">
                          <a:avLst/>
                        </a:prstGeom>
                        <a:solidFill>
                          <a:srgbClr val="003A67"/>
                        </a:solidFill>
                        <a:ln>
                          <a:solidFill>
                            <a:srgbClr val="003A67"/>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DF894EA" w14:textId="217C5525" w:rsidR="00DB6F60" w:rsidRPr="00DB6F60" w:rsidRDefault="00DB6F60" w:rsidP="00DB6F60">
                            <w:pPr>
                              <w:rPr>
                                <w:b/>
                              </w:rPr>
                            </w:pPr>
                            <w:r w:rsidRPr="00DB6F60">
                              <w:rPr>
                                <w:b/>
                              </w:rPr>
                              <w:t xml:space="preserve">Example </w:t>
                            </w:r>
                            <w:r w:rsidR="008E73E2">
                              <w:rPr>
                                <w:b/>
                              </w:rPr>
                              <w:t>r</w:t>
                            </w:r>
                            <w:r w:rsidRPr="00DB6F60">
                              <w:rPr>
                                <w:b/>
                              </w:rPr>
                              <w:t>esponses</w:t>
                            </w:r>
                            <w:r w:rsidR="008E73E2">
                              <w:rPr>
                                <w:b/>
                              </w:rPr>
                              <w:t xml:space="preserve"> for an </w:t>
                            </w:r>
                            <w:r w:rsidR="00945DDB">
                              <w:rPr>
                                <w:b/>
                              </w:rPr>
                              <w:t>RFP for services to help elderly individuals live at home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FB3889" id="Rectangle 3" o:spid="_x0000_s1027" style="position:absolute;margin-left:506.55pt;margin-top:.25pt;width:557.75pt;height:22.1pt;z-index:-25161728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" fillcolor="#003a67" strokecolor="#003a67" strokeweight="1pt">
                <v:textbox>
                  <w:txbxContent>
                    <w:p w14:paraId="2DF894EA" w14:textId="217C5525" w:rsidR="00DB6F60" w:rsidRPr="00DB6F60" w:rsidRDefault="00DB6F60" w:rsidP="00DB6F60">
                      <w:pPr>
                        <w:rPr>
                          <w:b/>
                        </w:rPr>
                      </w:pPr>
                      <w:r w:rsidRPr="00DB6F60">
                        <w:rPr>
                          <w:b/>
                        </w:rPr>
                        <w:t xml:space="preserve">Example </w:t>
                      </w:r>
                      <w:r w:rsidR="008E73E2">
                        <w:rPr>
                          <w:b/>
                        </w:rPr>
                        <w:t>r</w:t>
                      </w:r>
                      <w:r w:rsidRPr="00DB6F60">
                        <w:rPr>
                          <w:b/>
                        </w:rPr>
                        <w:t>esponses</w:t>
                      </w:r>
                      <w:r w:rsidR="008E73E2">
                        <w:rPr>
                          <w:b/>
                        </w:rPr>
                        <w:t xml:space="preserve"> for an </w:t>
                      </w:r>
                      <w:r w:rsidR="00945DDB">
                        <w:rPr>
                          <w:b/>
                        </w:rPr>
                        <w:t>RFP for services to help elderly individuals live at home</w:t>
                      </w:r>
                    </w:p>
                  </w:txbxContent>
                </v:textbox>
                <w10:wrap anchorx="page"/>
              </v:rect>
            </w:pict>
          </mc:Fallback>
        </mc:AlternateContent>
      </w:r>
    </w:p>
    <w:p w14:paraId="221E4B1C" w14:textId="77777777" w:rsidR="00FC66E6" w:rsidRPr="003218D3" w:rsidRDefault="006D01F6">
      <w:pPr>
        <w:rPr>
          <w:u w:val="single"/>
        </w:rPr>
      </w:pPr>
      <w:r>
        <w:rPr>
          <w:b/>
        </w:rPr>
        <w:br/>
      </w:r>
      <w:r w:rsidR="00FC66E6" w:rsidRPr="003218D3">
        <w:rPr>
          <w:u w:val="single"/>
        </w:rPr>
        <w:t>Advance Strategic Priorities</w:t>
      </w:r>
    </w:p>
    <w:p w14:paraId="0E29C915" w14:textId="4D0DD7EB" w:rsidR="00B75A69" w:rsidRDefault="00FC66E6" w:rsidP="003218D3">
      <w:pPr>
        <w:rPr>
          <w:i/>
        </w:rPr>
      </w:pPr>
      <w:r>
        <w:rPr>
          <w:i/>
        </w:rPr>
        <w:t>1. (a</w:t>
      </w:r>
      <w:r w:rsidR="00964715">
        <w:rPr>
          <w:i/>
        </w:rPr>
        <w:t xml:space="preserve">) </w:t>
      </w:r>
      <w:r w:rsidR="0024606E">
        <w:rPr>
          <w:i/>
        </w:rPr>
        <w:t>Outcome goals:</w:t>
      </w:r>
      <w:r w:rsidR="004377D7">
        <w:rPr>
          <w:i/>
        </w:rPr>
        <w:t xml:space="preserve"> </w:t>
      </w:r>
      <w:r w:rsidR="00964715">
        <w:rPr>
          <w:i/>
        </w:rPr>
        <w:t>We seek to enable</w:t>
      </w:r>
      <w:r w:rsidR="00B75A69">
        <w:rPr>
          <w:i/>
        </w:rPr>
        <w:t xml:space="preserve"> at-risk elderly individuals to safely live at home, with improved quality of life, </w:t>
      </w:r>
      <w:r w:rsidR="00286D22">
        <w:rPr>
          <w:i/>
        </w:rPr>
        <w:t>by preventing physical health crises that often lead to permanent moves into expensive long-term residential nursing facilities</w:t>
      </w:r>
      <w:r w:rsidR="00964715">
        <w:rPr>
          <w:i/>
        </w:rPr>
        <w:t>.</w:t>
      </w:r>
    </w:p>
    <w:p w14:paraId="3767E514" w14:textId="4512E114" w:rsidR="00FC66E6" w:rsidRPr="00FC66E6" w:rsidRDefault="00B75A69" w:rsidP="003218D3">
      <w:pPr>
        <w:ind w:left="270"/>
        <w:rPr>
          <w:i/>
        </w:rPr>
      </w:pPr>
      <w:r w:rsidRPr="00FC66E6" w:rsidDel="00B75A69">
        <w:rPr>
          <w:i/>
        </w:rPr>
        <w:t xml:space="preserve"> </w:t>
      </w:r>
      <w:r w:rsidR="00FC66E6">
        <w:rPr>
          <w:i/>
        </w:rPr>
        <w:t xml:space="preserve">(b) </w:t>
      </w:r>
      <w:r w:rsidR="00FC66E6" w:rsidRPr="00FC66E6">
        <w:rPr>
          <w:i/>
        </w:rPr>
        <w:t>Currently:</w:t>
      </w:r>
    </w:p>
    <w:p w14:paraId="27CBFB45" w14:textId="77777777" w:rsidR="003217C7" w:rsidRPr="003217C7" w:rsidRDefault="003217C7">
      <w:pPr>
        <w:pStyle w:val="ListParagraph"/>
        <w:numPr>
          <w:ilvl w:val="0"/>
          <w:numId w:val="8"/>
        </w:numPr>
        <w:contextualSpacing w:val="0"/>
        <w:rPr>
          <w:i/>
        </w:rPr>
      </w:pPr>
      <w:r w:rsidRPr="003217C7">
        <w:rPr>
          <w:i/>
        </w:rPr>
        <w:t>62% of elderly population is living at home, compared to a regional average of 70%, and a leading neighboring state’s average of 96%</w:t>
      </w:r>
    </w:p>
    <w:p w14:paraId="57735916" w14:textId="00519679" w:rsidR="003217C7" w:rsidRPr="003217C7" w:rsidRDefault="003217C7">
      <w:pPr>
        <w:pStyle w:val="ListParagraph"/>
        <w:numPr>
          <w:ilvl w:val="0"/>
          <w:numId w:val="8"/>
        </w:numPr>
        <w:contextualSpacing w:val="0"/>
        <w:rPr>
          <w:i/>
        </w:rPr>
      </w:pPr>
      <w:r>
        <w:rPr>
          <w:i/>
        </w:rPr>
        <w:t xml:space="preserve"> </w:t>
      </w:r>
      <w:r w:rsidRPr="003217C7">
        <w:rPr>
          <w:i/>
        </w:rPr>
        <w:t xml:space="preserve">The share of the state’s budget spent on preventable ER visits for seniors has steadily increased </w:t>
      </w:r>
      <w:r w:rsidR="00F401C9">
        <w:rPr>
          <w:i/>
        </w:rPr>
        <w:t>for 3 yrs</w:t>
      </w:r>
    </w:p>
    <w:p w14:paraId="7F2D84B8" w14:textId="70708756" w:rsidR="003217C7" w:rsidRDefault="003217C7">
      <w:pPr>
        <w:pStyle w:val="ListParagraph"/>
        <w:numPr>
          <w:ilvl w:val="0"/>
          <w:numId w:val="8"/>
        </w:numPr>
        <w:rPr>
          <w:i/>
        </w:rPr>
      </w:pPr>
      <w:r>
        <w:rPr>
          <w:i/>
        </w:rPr>
        <w:t>Few</w:t>
      </w:r>
      <w:r w:rsidRPr="00DB6F60">
        <w:rPr>
          <w:i/>
        </w:rPr>
        <w:t xml:space="preserve"> </w:t>
      </w:r>
      <w:r>
        <w:rPr>
          <w:i/>
        </w:rPr>
        <w:t xml:space="preserve">of our </w:t>
      </w:r>
      <w:r w:rsidRPr="00DB6F60">
        <w:rPr>
          <w:i/>
        </w:rPr>
        <w:t xml:space="preserve">services </w:t>
      </w:r>
      <w:r>
        <w:rPr>
          <w:i/>
        </w:rPr>
        <w:t>are oriented toward prevention; most of our resources pay for recovery services once a crisis has already occurred</w:t>
      </w:r>
    </w:p>
    <w:p w14:paraId="10497DFC" w14:textId="2804EFCC" w:rsidR="00FC66E6" w:rsidRDefault="00FC66E6" w:rsidP="003218D3">
      <w:pPr>
        <w:rPr>
          <w:i/>
        </w:rPr>
      </w:pPr>
      <w:r>
        <w:rPr>
          <w:i/>
        </w:rPr>
        <w:t xml:space="preserve">2. </w:t>
      </w:r>
      <w:r w:rsidRPr="00FC66E6">
        <w:rPr>
          <w:i/>
        </w:rPr>
        <w:t>Possible metrics:</w:t>
      </w:r>
    </w:p>
    <w:p w14:paraId="6E72D8D4" w14:textId="60701AD5" w:rsidR="00FC66E6" w:rsidRPr="00FC66E6" w:rsidRDefault="003737A1">
      <w:pPr>
        <w:pStyle w:val="ListParagraph"/>
        <w:numPr>
          <w:ilvl w:val="0"/>
          <w:numId w:val="9"/>
        </w:numPr>
        <w:contextualSpacing w:val="0"/>
        <w:rPr>
          <w:i/>
        </w:rPr>
      </w:pPr>
      <w:r>
        <w:rPr>
          <w:i/>
        </w:rPr>
        <w:t>Number of</w:t>
      </w:r>
      <w:r w:rsidR="00B75A69">
        <w:rPr>
          <w:i/>
        </w:rPr>
        <w:t xml:space="preserve"> ER visits among seniors for preventable injuries</w:t>
      </w:r>
      <w:r w:rsidR="00286D22">
        <w:rPr>
          <w:i/>
        </w:rPr>
        <w:t>, such as injuries associated with falls at home</w:t>
      </w:r>
    </w:p>
    <w:p w14:paraId="46F52444" w14:textId="77777777" w:rsidR="00FC66E6" w:rsidRPr="00FC66E6" w:rsidRDefault="00FC66E6">
      <w:pPr>
        <w:pStyle w:val="ListParagraph"/>
        <w:numPr>
          <w:ilvl w:val="0"/>
          <w:numId w:val="9"/>
        </w:numPr>
        <w:contextualSpacing w:val="0"/>
        <w:rPr>
          <w:i/>
        </w:rPr>
      </w:pPr>
      <w:r w:rsidRPr="00FC66E6">
        <w:rPr>
          <w:i/>
        </w:rPr>
        <w:t>Clients at home, 3-months</w:t>
      </w:r>
      <w:r w:rsidR="00B75A69">
        <w:rPr>
          <w:i/>
        </w:rPr>
        <w:t xml:space="preserve"> and 12-months</w:t>
      </w:r>
      <w:r w:rsidRPr="00FC66E6">
        <w:rPr>
          <w:i/>
        </w:rPr>
        <w:t xml:space="preserve"> following referral for services</w:t>
      </w:r>
    </w:p>
    <w:p w14:paraId="457D2A3B" w14:textId="77777777" w:rsidR="00FC66E6" w:rsidRDefault="00FC66E6">
      <w:pPr>
        <w:pStyle w:val="ListParagraph"/>
        <w:numPr>
          <w:ilvl w:val="0"/>
          <w:numId w:val="9"/>
        </w:numPr>
        <w:contextualSpacing w:val="0"/>
        <w:rPr>
          <w:i/>
        </w:rPr>
      </w:pPr>
      <w:r w:rsidRPr="00FC66E6">
        <w:rPr>
          <w:i/>
        </w:rPr>
        <w:t>Improvement in well-being, as measured by pre- and post-service assessment</w:t>
      </w:r>
      <w:r w:rsidR="003217C7">
        <w:rPr>
          <w:i/>
        </w:rPr>
        <w:t xml:space="preserve"> on healthy aging indicators</w:t>
      </w:r>
    </w:p>
    <w:p w14:paraId="6DC9F7FE" w14:textId="77777777" w:rsidR="003737A1" w:rsidRDefault="003737A1">
      <w:pPr>
        <w:pStyle w:val="ListParagraph"/>
        <w:numPr>
          <w:ilvl w:val="0"/>
          <w:numId w:val="9"/>
        </w:numPr>
        <w:contextualSpacing w:val="0"/>
        <w:rPr>
          <w:i/>
        </w:rPr>
      </w:pPr>
      <w:r>
        <w:rPr>
          <w:i/>
        </w:rPr>
        <w:t xml:space="preserve">Percentage of </w:t>
      </w:r>
      <w:r w:rsidR="004F1D1F">
        <w:rPr>
          <w:i/>
        </w:rPr>
        <w:t>clients who are assessed as at most high-risk for nursing stays</w:t>
      </w:r>
    </w:p>
    <w:p w14:paraId="248D4C06" w14:textId="77777777" w:rsidR="00FC66E6" w:rsidRPr="00FC66E6" w:rsidRDefault="00FC66E6" w:rsidP="003218D3">
      <w:pPr>
        <w:ind w:left="270" w:hanging="270"/>
        <w:rPr>
          <w:i/>
        </w:rPr>
      </w:pPr>
      <w:r>
        <w:rPr>
          <w:i/>
        </w:rPr>
        <w:t xml:space="preserve">3. </w:t>
      </w:r>
      <w:r w:rsidRPr="00FC66E6">
        <w:rPr>
          <w:i/>
        </w:rPr>
        <w:t>Our data show there are 800,000 citizens over the age of 60 who are often living with chronic conditions such as heart disease, physical disability, or Alzheimer’s disease. This population has increased difficulty living independently and is frequently experiencing behavioral or physical health crises.</w:t>
      </w:r>
    </w:p>
    <w:p w14:paraId="5BAA48B0" w14:textId="181D99F8" w:rsidR="00C16F14" w:rsidRDefault="00C16F14" w:rsidP="003218D3">
      <w:pPr>
        <w:ind w:left="270" w:hanging="270"/>
        <w:rPr>
          <w:i/>
        </w:rPr>
      </w:pPr>
      <w:r>
        <w:rPr>
          <w:i/>
        </w:rPr>
        <w:t xml:space="preserve">4. </w:t>
      </w:r>
      <w:r w:rsidR="00FC66E6" w:rsidRPr="00C16F14">
        <w:rPr>
          <w:i/>
        </w:rPr>
        <w:t xml:space="preserve">The biggest challenge the state has is identifying especially high-risk individuals to offer </w:t>
      </w:r>
      <w:r w:rsidR="00BB2805">
        <w:rPr>
          <w:i/>
        </w:rPr>
        <w:t xml:space="preserve">at-home, </w:t>
      </w:r>
      <w:r w:rsidR="00FC66E6" w:rsidRPr="00C16F14">
        <w:rPr>
          <w:i/>
        </w:rPr>
        <w:t xml:space="preserve">preventative services before a crisis occurs. We are looking for vendors to suggest innovations </w:t>
      </w:r>
      <w:r w:rsidR="00BB2805">
        <w:rPr>
          <w:i/>
        </w:rPr>
        <w:t xml:space="preserve">not previously available </w:t>
      </w:r>
      <w:r w:rsidR="00FC66E6" w:rsidRPr="00C16F14">
        <w:rPr>
          <w:i/>
        </w:rPr>
        <w:t>that can help identify, assess, and intervene with at-risk individuals early.</w:t>
      </w:r>
    </w:p>
    <w:p w14:paraId="2EB35EDB" w14:textId="77777777" w:rsidR="005D2678" w:rsidRDefault="005D2678">
      <w:pPr>
        <w:ind w:left="270" w:hanging="270"/>
      </w:pPr>
    </w:p>
    <w:p w14:paraId="324AC602" w14:textId="77777777" w:rsidR="005D2678" w:rsidRPr="003218D3" w:rsidRDefault="005D2678">
      <w:pPr>
        <w:ind w:left="270" w:hanging="270"/>
        <w:rPr>
          <w:u w:val="single"/>
        </w:rPr>
      </w:pPr>
      <w:r w:rsidRPr="003218D3">
        <w:rPr>
          <w:u w:val="single"/>
        </w:rPr>
        <w:t>Encourage Innovation</w:t>
      </w:r>
    </w:p>
    <w:p w14:paraId="799B1B62" w14:textId="77777777" w:rsidR="005D2678" w:rsidRPr="005D2678" w:rsidRDefault="00C16F14" w:rsidP="003218D3">
      <w:pPr>
        <w:rPr>
          <w:i/>
        </w:rPr>
      </w:pPr>
      <w:r w:rsidRPr="005D2678">
        <w:rPr>
          <w:i/>
        </w:rPr>
        <w:t xml:space="preserve">5. </w:t>
      </w:r>
      <w:r w:rsidR="00BB2805">
        <w:rPr>
          <w:i/>
        </w:rPr>
        <w:t>Required elements:</w:t>
      </w:r>
    </w:p>
    <w:p w14:paraId="4E766494" w14:textId="38898AF1" w:rsidR="005D2678" w:rsidRPr="005D2678" w:rsidRDefault="00826D6E">
      <w:pPr>
        <w:pStyle w:val="ListParagraph"/>
        <w:numPr>
          <w:ilvl w:val="0"/>
          <w:numId w:val="14"/>
        </w:numPr>
        <w:contextualSpacing w:val="0"/>
        <w:rPr>
          <w:i/>
        </w:rPr>
      </w:pPr>
      <w:r>
        <w:rPr>
          <w:i/>
        </w:rPr>
        <w:t>Assessment of</w:t>
      </w:r>
      <w:r w:rsidR="005D2678" w:rsidRPr="005D2678">
        <w:rPr>
          <w:i/>
        </w:rPr>
        <w:t xml:space="preserve"> all elderly individuals within their geographic catchment area who are involved with the Department or who are referred</w:t>
      </w:r>
    </w:p>
    <w:p w14:paraId="49EC4CC1" w14:textId="7AF4D857" w:rsidR="005D2678" w:rsidRDefault="00BB2805">
      <w:pPr>
        <w:pStyle w:val="ListParagraph"/>
        <w:numPr>
          <w:ilvl w:val="0"/>
          <w:numId w:val="14"/>
        </w:numPr>
        <w:contextualSpacing w:val="0"/>
        <w:rPr>
          <w:i/>
        </w:rPr>
      </w:pPr>
      <w:r>
        <w:rPr>
          <w:i/>
        </w:rPr>
        <w:t>U</w:t>
      </w:r>
      <w:r w:rsidR="005D2678" w:rsidRPr="005D2678">
        <w:rPr>
          <w:i/>
        </w:rPr>
        <w:t xml:space="preserve">se </w:t>
      </w:r>
      <w:r>
        <w:rPr>
          <w:i/>
        </w:rPr>
        <w:t xml:space="preserve">formal </w:t>
      </w:r>
      <w:r w:rsidR="005D2678" w:rsidRPr="005D2678">
        <w:rPr>
          <w:i/>
        </w:rPr>
        <w:t>assessment</w:t>
      </w:r>
      <w:r>
        <w:rPr>
          <w:i/>
        </w:rPr>
        <w:t>s</w:t>
      </w:r>
      <w:r w:rsidR="005D2678" w:rsidRPr="005D2678">
        <w:rPr>
          <w:i/>
        </w:rPr>
        <w:t xml:space="preserve"> to inform </w:t>
      </w:r>
      <w:r>
        <w:rPr>
          <w:i/>
        </w:rPr>
        <w:t>service</w:t>
      </w:r>
      <w:r w:rsidRPr="005D2678">
        <w:rPr>
          <w:i/>
        </w:rPr>
        <w:t xml:space="preserve"> </w:t>
      </w:r>
      <w:r>
        <w:rPr>
          <w:i/>
        </w:rPr>
        <w:t>needs</w:t>
      </w:r>
    </w:p>
    <w:p w14:paraId="0949688D" w14:textId="77777777" w:rsidR="00BB2805" w:rsidRPr="003218D3" w:rsidRDefault="007F5BD9">
      <w:pPr>
        <w:pStyle w:val="ListParagraph"/>
        <w:numPr>
          <w:ilvl w:val="0"/>
          <w:numId w:val="14"/>
        </w:numPr>
        <w:contextualSpacing w:val="0"/>
        <w:rPr>
          <w:i/>
        </w:rPr>
      </w:pPr>
      <w:r>
        <w:rPr>
          <w:i/>
        </w:rPr>
        <w:t>Centralized mechanisms to accept referrals from healthcare providers 24 hours a day, 365 days per year</w:t>
      </w:r>
    </w:p>
    <w:p w14:paraId="0F03FFD5" w14:textId="4431709A" w:rsidR="005D2678" w:rsidRPr="00826D6E" w:rsidRDefault="005D2678">
      <w:pPr>
        <w:pStyle w:val="ListParagraph"/>
        <w:numPr>
          <w:ilvl w:val="0"/>
          <w:numId w:val="14"/>
        </w:numPr>
        <w:contextualSpacing w:val="0"/>
        <w:rPr>
          <w:i/>
        </w:rPr>
      </w:pPr>
      <w:r w:rsidRPr="00826D6E">
        <w:rPr>
          <w:i/>
        </w:rPr>
        <w:t>Provider’s staff must meet any applicable licensing regulations by the state</w:t>
      </w:r>
      <w:r w:rsidR="00826D6E" w:rsidRPr="00826D6E">
        <w:rPr>
          <w:i/>
        </w:rPr>
        <w:t xml:space="preserve"> and </w:t>
      </w:r>
      <w:r w:rsidR="00826D6E">
        <w:rPr>
          <w:i/>
        </w:rPr>
        <w:t>p</w:t>
      </w:r>
      <w:r w:rsidRPr="00826D6E">
        <w:rPr>
          <w:i/>
        </w:rPr>
        <w:t>rovider must have Medicaid provider billing capability</w:t>
      </w:r>
    </w:p>
    <w:p w14:paraId="277A5736" w14:textId="77777777" w:rsidR="005D2678" w:rsidRPr="005D2678" w:rsidRDefault="005D2678">
      <w:pPr>
        <w:pStyle w:val="ListParagraph"/>
        <w:numPr>
          <w:ilvl w:val="0"/>
          <w:numId w:val="14"/>
        </w:numPr>
        <w:contextualSpacing w:val="0"/>
        <w:rPr>
          <w:i/>
        </w:rPr>
      </w:pPr>
      <w:r w:rsidRPr="005D2678">
        <w:rPr>
          <w:i/>
        </w:rPr>
        <w:t>Provider must have the capacity to collect, manage, and report data electronically to the Department for managing program performance</w:t>
      </w:r>
    </w:p>
    <w:p w14:paraId="5679E6AA" w14:textId="77777777" w:rsidR="005D2678" w:rsidRPr="005D2678" w:rsidRDefault="005D2678" w:rsidP="003218D3">
      <w:pPr>
        <w:rPr>
          <w:i/>
        </w:rPr>
      </w:pPr>
      <w:r>
        <w:rPr>
          <w:i/>
        </w:rPr>
        <w:t>6.</w:t>
      </w:r>
      <w:r w:rsidR="003737A1">
        <w:rPr>
          <w:i/>
        </w:rPr>
        <w:t xml:space="preserve"> Opportunities for innovation:</w:t>
      </w:r>
    </w:p>
    <w:p w14:paraId="1D92F3A8" w14:textId="77777777" w:rsidR="003737A1" w:rsidRDefault="003737A1">
      <w:pPr>
        <w:pStyle w:val="ListParagraph"/>
        <w:numPr>
          <w:ilvl w:val="0"/>
          <w:numId w:val="15"/>
        </w:numPr>
        <w:contextualSpacing w:val="0"/>
        <w:rPr>
          <w:i/>
        </w:rPr>
      </w:pPr>
      <w:r>
        <w:rPr>
          <w:i/>
        </w:rPr>
        <w:t>Previously, we’ve required all clients to be assessed within the same timeframe. In this RFP, we will allow providers to propose a triage system that could focus reso</w:t>
      </w:r>
      <w:r w:rsidR="004F1D1F">
        <w:rPr>
          <w:i/>
        </w:rPr>
        <w:t>urces on clients at highest-risk.</w:t>
      </w:r>
    </w:p>
    <w:p w14:paraId="299A3D17" w14:textId="77777777" w:rsidR="005D2678" w:rsidRPr="005D2678" w:rsidRDefault="005D2678">
      <w:pPr>
        <w:pStyle w:val="ListParagraph"/>
        <w:numPr>
          <w:ilvl w:val="0"/>
          <w:numId w:val="15"/>
        </w:numPr>
        <w:contextualSpacing w:val="0"/>
        <w:rPr>
          <w:i/>
        </w:rPr>
      </w:pPr>
      <w:r w:rsidRPr="005D2678">
        <w:rPr>
          <w:i/>
        </w:rPr>
        <w:t>Previously we’ve asked only for immediate, in-home responses to the sudden onset of problematic behaviors or crises. In this RFP, we will leave room for providers to propose other approaches, such as preventive or diversionary services.</w:t>
      </w:r>
    </w:p>
    <w:p w14:paraId="1D2652A8" w14:textId="77777777" w:rsidR="005D2678" w:rsidRPr="005D2678" w:rsidRDefault="005D2678">
      <w:pPr>
        <w:pStyle w:val="ListParagraph"/>
        <w:numPr>
          <w:ilvl w:val="0"/>
          <w:numId w:val="15"/>
        </w:numPr>
        <w:contextualSpacing w:val="0"/>
        <w:rPr>
          <w:i/>
        </w:rPr>
      </w:pPr>
      <w:r w:rsidRPr="005D2678">
        <w:rPr>
          <w:i/>
        </w:rPr>
        <w:t>Previously we’ve specified the staffing levels and qualifications of the provider service teams. In this RFP, we will ask providers to propose the right size and mix of personnel for teams to effectively address the goals we want the program to achieve, as stated in question 1.</w:t>
      </w:r>
    </w:p>
    <w:p w14:paraId="730DCB88" w14:textId="77777777" w:rsidR="005D2678" w:rsidRDefault="005D2678" w:rsidP="003218D3">
      <w:pPr>
        <w:rPr>
          <w:i/>
        </w:rPr>
      </w:pPr>
      <w:r>
        <w:rPr>
          <w:i/>
        </w:rPr>
        <w:t>7.</w:t>
      </w:r>
      <w:r w:rsidR="004F1D1F">
        <w:rPr>
          <w:i/>
        </w:rPr>
        <w:t xml:space="preserve"> Integration of priorities into scoring:</w:t>
      </w:r>
    </w:p>
    <w:p w14:paraId="73462819" w14:textId="77777777" w:rsidR="005D2678" w:rsidRPr="005D2678" w:rsidRDefault="005D2678">
      <w:pPr>
        <w:pStyle w:val="ListParagraph"/>
        <w:numPr>
          <w:ilvl w:val="0"/>
          <w:numId w:val="16"/>
        </w:numPr>
        <w:contextualSpacing w:val="0"/>
        <w:rPr>
          <w:i/>
        </w:rPr>
      </w:pPr>
      <w:r w:rsidRPr="005D2678">
        <w:rPr>
          <w:i/>
        </w:rPr>
        <w:t>The RFP will include</w:t>
      </w:r>
      <w:r w:rsidR="00B1158E">
        <w:rPr>
          <w:i/>
        </w:rPr>
        <w:t xml:space="preserve"> case study</w:t>
      </w:r>
      <w:r w:rsidRPr="005D2678">
        <w:rPr>
          <w:i/>
        </w:rPr>
        <w:t xml:space="preserve"> style questions around how a provider would work with each of three example seniors experiencing different issues. The first of these three cases, for example: “During a follow-up visit, you consult with a 78-year-old man who has a history of congestive heart failure, arthritis, depression, and difficulty sleeping. He takes several prescription medications for these conditions as well as over-the-counter sleep and allergy medications. While his chronic conditions appear </w:t>
      </w:r>
      <w:r w:rsidRPr="005D2678">
        <w:rPr>
          <w:i/>
        </w:rPr>
        <w:lastRenderedPageBreak/>
        <w:t>to be stable, his wife tells you that he has fallen twice over the last 4 months. Please describe your approach for this client.”</w:t>
      </w:r>
    </w:p>
    <w:p w14:paraId="657D457C" w14:textId="77777777" w:rsidR="005D2678" w:rsidRDefault="005D2678">
      <w:pPr>
        <w:pStyle w:val="ListParagraph"/>
        <w:numPr>
          <w:ilvl w:val="0"/>
          <w:numId w:val="16"/>
        </w:numPr>
        <w:contextualSpacing w:val="0"/>
        <w:rPr>
          <w:i/>
        </w:rPr>
      </w:pPr>
      <w:r w:rsidRPr="005D2678">
        <w:rPr>
          <w:i/>
        </w:rPr>
        <w:t>The RFP will ask providers to submit data that reflects their ability to achieve results in preventing crisis situations when they’ve served similar populations in the past.</w:t>
      </w:r>
    </w:p>
    <w:p w14:paraId="11DF9060" w14:textId="77777777" w:rsidR="00C16F14" w:rsidRDefault="005D2678">
      <w:pPr>
        <w:pStyle w:val="ListParagraph"/>
        <w:numPr>
          <w:ilvl w:val="0"/>
          <w:numId w:val="16"/>
        </w:numPr>
        <w:contextualSpacing w:val="0"/>
        <w:rPr>
          <w:i/>
        </w:rPr>
      </w:pPr>
      <w:r w:rsidRPr="005D2678">
        <w:rPr>
          <w:i/>
        </w:rPr>
        <w:t>This RFP will ask vendors to use the evidence base for their approach to justify the likelihood that the approach will increasing elder quality of living, decrease preventable ER visits, and decrease long-term nursing home stays.</w:t>
      </w:r>
    </w:p>
    <w:p w14:paraId="48B25CAF" w14:textId="77777777" w:rsidR="005D2678" w:rsidRDefault="005D2678">
      <w:pPr>
        <w:rPr>
          <w:i/>
        </w:rPr>
      </w:pPr>
    </w:p>
    <w:p w14:paraId="7D9A8D0C" w14:textId="77777777" w:rsidR="005D2678" w:rsidRPr="003218D3" w:rsidRDefault="005D2678">
      <w:pPr>
        <w:rPr>
          <w:u w:val="single"/>
        </w:rPr>
      </w:pPr>
      <w:r w:rsidRPr="003218D3">
        <w:rPr>
          <w:u w:val="single"/>
        </w:rPr>
        <w:t>Prepare for Active Contract Management</w:t>
      </w:r>
    </w:p>
    <w:p w14:paraId="2D21FFA5" w14:textId="77777777" w:rsidR="005D2678" w:rsidRPr="005D2678" w:rsidRDefault="005D2678" w:rsidP="003218D3">
      <w:pPr>
        <w:rPr>
          <w:i/>
        </w:rPr>
      </w:pPr>
      <w:r>
        <w:rPr>
          <w:i/>
        </w:rPr>
        <w:t xml:space="preserve">8. </w:t>
      </w:r>
      <w:r w:rsidRPr="005D2678">
        <w:rPr>
          <w:i/>
        </w:rPr>
        <w:t>The draft contract attached to the RFP will:</w:t>
      </w:r>
    </w:p>
    <w:p w14:paraId="0C592134" w14:textId="77777777" w:rsidR="005D2678" w:rsidRPr="005D2678" w:rsidRDefault="005D2678">
      <w:pPr>
        <w:pStyle w:val="ListParagraph"/>
        <w:numPr>
          <w:ilvl w:val="0"/>
          <w:numId w:val="6"/>
        </w:numPr>
        <w:contextualSpacing w:val="0"/>
        <w:rPr>
          <w:i/>
        </w:rPr>
      </w:pPr>
      <w:r w:rsidRPr="005D2678">
        <w:rPr>
          <w:i/>
        </w:rPr>
        <w:t>Identify the target population: “The Target Population shall consist of individuals over the age of 60 residing in the State.”</w:t>
      </w:r>
    </w:p>
    <w:p w14:paraId="525B8D93" w14:textId="5676ECB0" w:rsidR="005D2678" w:rsidRPr="005D2678" w:rsidRDefault="005D2678">
      <w:pPr>
        <w:pStyle w:val="ListParagraph"/>
        <w:numPr>
          <w:ilvl w:val="0"/>
          <w:numId w:val="6"/>
        </w:numPr>
        <w:contextualSpacing w:val="0"/>
        <w:rPr>
          <w:i/>
        </w:rPr>
      </w:pPr>
      <w:r w:rsidRPr="005D2678">
        <w:rPr>
          <w:i/>
        </w:rPr>
        <w:t xml:space="preserve">Set expectations for referrals from the target population: “The contractor will identify and screen the target population residing in the geographic catchment area for eligibility for services under the criteria set forth in Appendix </w:t>
      </w:r>
      <w:r w:rsidR="00F401C9">
        <w:rPr>
          <w:i/>
        </w:rPr>
        <w:t>XX</w:t>
      </w:r>
      <w:r w:rsidRPr="005D2678">
        <w:rPr>
          <w:i/>
        </w:rPr>
        <w:t>.”</w:t>
      </w:r>
    </w:p>
    <w:p w14:paraId="1D531766" w14:textId="2B630836" w:rsidR="005D2678" w:rsidRPr="005D2678" w:rsidRDefault="005D2678">
      <w:pPr>
        <w:pStyle w:val="ListParagraph"/>
        <w:numPr>
          <w:ilvl w:val="0"/>
          <w:numId w:val="6"/>
        </w:numPr>
        <w:contextualSpacing w:val="0"/>
        <w:rPr>
          <w:i/>
        </w:rPr>
      </w:pPr>
      <w:r w:rsidRPr="005D2678">
        <w:rPr>
          <w:i/>
        </w:rPr>
        <w:t xml:space="preserve">Define program goals the contract is intended to make progress against, as stated in question 1: “The </w:t>
      </w:r>
      <w:r w:rsidR="00F401C9">
        <w:rPr>
          <w:i/>
        </w:rPr>
        <w:t>purpose of</w:t>
      </w:r>
      <w:r w:rsidRPr="005D2678">
        <w:rPr>
          <w:i/>
        </w:rPr>
        <w:t xml:space="preserve"> this contract to reduce preventable ER visits for seniors, reduce moves into long-term residential nursing facilities, and improve the quality of life for our elderly population.”</w:t>
      </w:r>
    </w:p>
    <w:p w14:paraId="3B9BB54B" w14:textId="720585F7" w:rsidR="005D2678" w:rsidRPr="005D2678" w:rsidRDefault="00C16F14" w:rsidP="003218D3">
      <w:pPr>
        <w:ind w:left="180" w:hanging="180"/>
        <w:rPr>
          <w:i/>
        </w:rPr>
      </w:pPr>
      <w:r w:rsidRPr="005D2678">
        <w:rPr>
          <w:i/>
        </w:rPr>
        <w:t xml:space="preserve">9. The RFP will include an appendix detailing three general principles of Active Contract Management </w:t>
      </w:r>
      <w:r w:rsidR="00964715">
        <w:rPr>
          <w:i/>
        </w:rPr>
        <w:t>based upon the DOA template.</w:t>
      </w:r>
    </w:p>
    <w:p w14:paraId="5F86D9F5" w14:textId="77777777" w:rsidR="00C16F14" w:rsidRPr="005D2678" w:rsidRDefault="00C16F14" w:rsidP="003218D3">
      <w:pPr>
        <w:ind w:left="180"/>
        <w:rPr>
          <w:i/>
        </w:rPr>
      </w:pPr>
      <w:r w:rsidRPr="005D2678">
        <w:rPr>
          <w:i/>
        </w:rPr>
        <w:t>The draft contract attached to the RFP will include an appendix that lays out expectations of the vendor and the Department in managing performance of the program over the life of the contract. This appendix will:</w:t>
      </w:r>
    </w:p>
    <w:p w14:paraId="5364726E" w14:textId="77777777" w:rsidR="00C16F14" w:rsidRPr="005D2678" w:rsidRDefault="00C16F14" w:rsidP="003218D3">
      <w:pPr>
        <w:pStyle w:val="ListParagraph"/>
        <w:numPr>
          <w:ilvl w:val="0"/>
          <w:numId w:val="11"/>
        </w:numPr>
        <w:ind w:left="720"/>
        <w:contextualSpacing w:val="0"/>
        <w:rPr>
          <w:i/>
        </w:rPr>
      </w:pPr>
      <w:r w:rsidRPr="005D2678">
        <w:rPr>
          <w:i/>
        </w:rPr>
        <w:t>Define key performance objectives that the services are intended to accomplish</w:t>
      </w:r>
    </w:p>
    <w:p w14:paraId="4F86CB6A" w14:textId="77777777" w:rsidR="00C16F14" w:rsidRPr="005D2678" w:rsidRDefault="00C16F14" w:rsidP="003218D3">
      <w:pPr>
        <w:pStyle w:val="ListParagraph"/>
        <w:numPr>
          <w:ilvl w:val="0"/>
          <w:numId w:val="11"/>
        </w:numPr>
        <w:ind w:left="720"/>
        <w:contextualSpacing w:val="0"/>
        <w:rPr>
          <w:i/>
        </w:rPr>
      </w:pPr>
      <w:r w:rsidRPr="005D2678">
        <w:rPr>
          <w:i/>
        </w:rPr>
        <w:t>Outline responsibilities of the contractor and the Department regarding data collection, reporting, analysis, the schedule of such activities</w:t>
      </w:r>
    </w:p>
    <w:p w14:paraId="0136791A" w14:textId="77777777" w:rsidR="00C16F14" w:rsidRPr="005D2678" w:rsidRDefault="00C16F14" w:rsidP="003218D3">
      <w:pPr>
        <w:pStyle w:val="ListParagraph"/>
        <w:numPr>
          <w:ilvl w:val="0"/>
          <w:numId w:val="11"/>
        </w:numPr>
        <w:ind w:left="720"/>
        <w:contextualSpacing w:val="0"/>
        <w:rPr>
          <w:i/>
        </w:rPr>
      </w:pPr>
      <w:r w:rsidRPr="005D2678">
        <w:rPr>
          <w:i/>
        </w:rPr>
        <w:t xml:space="preserve">Set expectations for regular meetings between the contractor and Department to improve program performance, including meeting cadence, attendance, tone and objectives </w:t>
      </w:r>
    </w:p>
    <w:p w14:paraId="21D09AE3" w14:textId="77777777" w:rsidR="005D2678" w:rsidRPr="005D2678" w:rsidRDefault="00C16F14" w:rsidP="003218D3">
      <w:pPr>
        <w:pStyle w:val="ListParagraph"/>
        <w:numPr>
          <w:ilvl w:val="0"/>
          <w:numId w:val="11"/>
        </w:numPr>
        <w:ind w:left="720"/>
        <w:contextualSpacing w:val="0"/>
        <w:rPr>
          <w:i/>
        </w:rPr>
      </w:pPr>
      <w:r w:rsidRPr="005D2678">
        <w:rPr>
          <w:i/>
        </w:rPr>
        <w:t>Clarify understanding around the Department’s use of data to guide program development, evaluate programs, inform policies, and inform contract decisions</w:t>
      </w:r>
    </w:p>
    <w:p w14:paraId="5AD2B208" w14:textId="77777777" w:rsidR="00C16F14" w:rsidRPr="005D2678" w:rsidRDefault="00C16F14" w:rsidP="003218D3">
      <w:pPr>
        <w:rPr>
          <w:i/>
        </w:rPr>
      </w:pPr>
      <w:r w:rsidRPr="005D2678">
        <w:rPr>
          <w:i/>
        </w:rPr>
        <w:t>10.</w:t>
      </w:r>
      <w:r w:rsidR="00964715">
        <w:rPr>
          <w:i/>
        </w:rPr>
        <w:t xml:space="preserve"> </w:t>
      </w:r>
      <w:r w:rsidR="003E41C7">
        <w:rPr>
          <w:i/>
        </w:rPr>
        <w:t>Contract and payment structure:</w:t>
      </w:r>
    </w:p>
    <w:p w14:paraId="6004D1C1" w14:textId="77777777" w:rsidR="00C16F14" w:rsidRPr="005D2678" w:rsidRDefault="00C16F14">
      <w:pPr>
        <w:pStyle w:val="ListParagraph"/>
        <w:numPr>
          <w:ilvl w:val="0"/>
          <w:numId w:val="12"/>
        </w:numPr>
        <w:contextualSpacing w:val="0"/>
        <w:rPr>
          <w:i/>
        </w:rPr>
      </w:pPr>
      <w:r w:rsidRPr="005D2678">
        <w:rPr>
          <w:i/>
        </w:rPr>
        <w:t xml:space="preserve">Because there are substantial fixed costs involved in outreach and providing service coverage for an entire region, this contract will be a cost-reimbursement contract up to a maximum </w:t>
      </w:r>
      <w:r w:rsidR="003E41C7">
        <w:rPr>
          <w:i/>
        </w:rPr>
        <w:t xml:space="preserve">annual amount </w:t>
      </w:r>
      <w:r w:rsidRPr="005D2678">
        <w:rPr>
          <w:i/>
        </w:rPr>
        <w:t>for each region, rather than a per-unit type contract.</w:t>
      </w:r>
    </w:p>
    <w:p w14:paraId="33EFD066" w14:textId="3CE9CB6E" w:rsidR="00C16F14" w:rsidRPr="005D2678" w:rsidRDefault="00C16F14">
      <w:pPr>
        <w:pStyle w:val="ListParagraph"/>
        <w:numPr>
          <w:ilvl w:val="0"/>
          <w:numId w:val="12"/>
        </w:numPr>
        <w:contextualSpacing w:val="0"/>
        <w:rPr>
          <w:i/>
        </w:rPr>
      </w:pPr>
      <w:r w:rsidRPr="005D2678">
        <w:rPr>
          <w:i/>
        </w:rPr>
        <w:t xml:space="preserve">There will be a </w:t>
      </w:r>
      <w:r w:rsidR="003E41C7">
        <w:rPr>
          <w:i/>
        </w:rPr>
        <w:t>opportunities to earn up to additional 5% in</w:t>
      </w:r>
      <w:r w:rsidR="003E41C7" w:rsidRPr="005D2678">
        <w:rPr>
          <w:i/>
        </w:rPr>
        <w:t xml:space="preserve"> </w:t>
      </w:r>
      <w:r w:rsidRPr="005D2678">
        <w:rPr>
          <w:i/>
        </w:rPr>
        <w:t>bonus payment</w:t>
      </w:r>
      <w:r w:rsidR="003E41C7">
        <w:rPr>
          <w:i/>
        </w:rPr>
        <w:t>s based upon number of</w:t>
      </w:r>
      <w:r w:rsidRPr="005D2678">
        <w:rPr>
          <w:i/>
        </w:rPr>
        <w:t xml:space="preserve"> referred clients who are at home 6 months following services, in order to make sure the department is providing information to providers about what happens after the client is cared for.</w:t>
      </w:r>
    </w:p>
    <w:p w14:paraId="121AB97E" w14:textId="77777777" w:rsidR="00C16F14" w:rsidRPr="005D2678" w:rsidRDefault="00C16F14">
      <w:pPr>
        <w:pStyle w:val="ListParagraph"/>
        <w:numPr>
          <w:ilvl w:val="0"/>
          <w:numId w:val="12"/>
        </w:numPr>
        <w:contextualSpacing w:val="0"/>
        <w:rPr>
          <w:i/>
        </w:rPr>
      </w:pPr>
      <w:r w:rsidRPr="005D2678">
        <w:rPr>
          <w:i/>
        </w:rPr>
        <w:t>The term of the contract will be for three years, with two one-year options to extend. This will allow sufficient time to work with providers throughout the initial three years to collect data and improve performance. The options provide incentive for providers who are performing well.</w:t>
      </w:r>
    </w:p>
    <w:p w14:paraId="264AC17C" w14:textId="77777777" w:rsidR="00C16F14" w:rsidRPr="005D2678" w:rsidRDefault="00C16F14" w:rsidP="003218D3">
      <w:pPr>
        <w:rPr>
          <w:i/>
        </w:rPr>
      </w:pPr>
      <w:r w:rsidRPr="005D2678">
        <w:rPr>
          <w:i/>
        </w:rPr>
        <w:t>11.</w:t>
      </w:r>
      <w:r w:rsidR="00964715">
        <w:rPr>
          <w:i/>
        </w:rPr>
        <w:t xml:space="preserve"> </w:t>
      </w:r>
      <w:r w:rsidR="003E41C7">
        <w:rPr>
          <w:i/>
        </w:rPr>
        <w:t>Risk mitigation</w:t>
      </w:r>
    </w:p>
    <w:p w14:paraId="1CED7A0E" w14:textId="65404EA5" w:rsidR="00C16F14" w:rsidRPr="005D2678" w:rsidRDefault="00C16F14">
      <w:pPr>
        <w:pStyle w:val="ListParagraph"/>
        <w:numPr>
          <w:ilvl w:val="0"/>
          <w:numId w:val="13"/>
        </w:numPr>
        <w:contextualSpacing w:val="0"/>
        <w:rPr>
          <w:i/>
        </w:rPr>
      </w:pPr>
      <w:r w:rsidRPr="005D2678">
        <w:rPr>
          <w:i/>
        </w:rPr>
        <w:t xml:space="preserve">Risk: Vendors won’t </w:t>
      </w:r>
      <w:r w:rsidR="003E41C7">
        <w:rPr>
          <w:i/>
        </w:rPr>
        <w:t>recognition</w:t>
      </w:r>
      <w:r w:rsidR="003E41C7" w:rsidRPr="005D2678">
        <w:rPr>
          <w:i/>
        </w:rPr>
        <w:t xml:space="preserve"> </w:t>
      </w:r>
      <w:r w:rsidRPr="005D2678">
        <w:rPr>
          <w:i/>
        </w:rPr>
        <w:t xml:space="preserve">the </w:t>
      </w:r>
      <w:r w:rsidR="003E41C7">
        <w:rPr>
          <w:i/>
        </w:rPr>
        <w:t>innovations</w:t>
      </w:r>
      <w:r w:rsidR="003E41C7" w:rsidRPr="005D2678">
        <w:rPr>
          <w:i/>
        </w:rPr>
        <w:t xml:space="preserve"> </w:t>
      </w:r>
      <w:r w:rsidRPr="005D2678">
        <w:rPr>
          <w:i/>
        </w:rPr>
        <w:t xml:space="preserve">we are seeking </w:t>
      </w:r>
      <w:r w:rsidR="003E41C7">
        <w:rPr>
          <w:i/>
        </w:rPr>
        <w:t>and will submit proposals for the same services previously offered</w:t>
      </w:r>
      <w:r w:rsidRPr="005D2678">
        <w:rPr>
          <w:i/>
        </w:rPr>
        <w:t>. Strategy: We will hold a vendor “town hall” event before releasing the RFP to explain our vision and rationale for program changes.</w:t>
      </w:r>
    </w:p>
    <w:p w14:paraId="5D7033EA" w14:textId="7DA3B871" w:rsidR="00C16F14" w:rsidRPr="005D2678" w:rsidRDefault="00C16F14">
      <w:pPr>
        <w:pStyle w:val="ListParagraph"/>
        <w:numPr>
          <w:ilvl w:val="0"/>
          <w:numId w:val="13"/>
        </w:numPr>
        <w:contextualSpacing w:val="0"/>
        <w:rPr>
          <w:i/>
        </w:rPr>
      </w:pPr>
      <w:r w:rsidRPr="005D2678">
        <w:rPr>
          <w:i/>
        </w:rPr>
        <w:t xml:space="preserve">Risk: Vendors may miss how much we are expecting them to be responsible for identifying clients. Strategy: We </w:t>
      </w:r>
      <w:r w:rsidR="00964715">
        <w:rPr>
          <w:i/>
        </w:rPr>
        <w:t xml:space="preserve">include this in </w:t>
      </w:r>
      <w:r w:rsidRPr="005D2678">
        <w:rPr>
          <w:i/>
        </w:rPr>
        <w:t>an “introduction” section that summarizes how this RFP is different from</w:t>
      </w:r>
      <w:r w:rsidR="00964715">
        <w:rPr>
          <w:i/>
        </w:rPr>
        <w:t xml:space="preserve"> services offered</w:t>
      </w:r>
      <w:r w:rsidRPr="005D2678">
        <w:rPr>
          <w:i/>
        </w:rPr>
        <w:t xml:space="preserve"> previous years.</w:t>
      </w:r>
    </w:p>
    <w:p w14:paraId="34848721" w14:textId="4DD889AF" w:rsidR="00D23A8D" w:rsidRPr="005D2678" w:rsidRDefault="00C16F14">
      <w:pPr>
        <w:pStyle w:val="ListParagraph"/>
        <w:numPr>
          <w:ilvl w:val="0"/>
          <w:numId w:val="13"/>
        </w:numPr>
        <w:contextualSpacing w:val="0"/>
        <w:rPr>
          <w:i/>
        </w:rPr>
      </w:pPr>
      <w:r w:rsidRPr="005D2678">
        <w:rPr>
          <w:i/>
        </w:rPr>
        <w:t xml:space="preserve">Risk: We </w:t>
      </w:r>
      <w:r w:rsidR="00964715">
        <w:rPr>
          <w:i/>
        </w:rPr>
        <w:t>may not</w:t>
      </w:r>
      <w:r w:rsidR="00964715" w:rsidRPr="005D2678">
        <w:rPr>
          <w:i/>
        </w:rPr>
        <w:t xml:space="preserve"> </w:t>
      </w:r>
      <w:r w:rsidRPr="005D2678">
        <w:rPr>
          <w:i/>
        </w:rPr>
        <w:t xml:space="preserve">have the right vendors in our community for this and need new options or creative solutions to achieve the goals we’ve laid out. Strategy: We will publicize the vendor town hall event and RFP itself </w:t>
      </w:r>
      <w:r w:rsidR="00964715">
        <w:rPr>
          <w:i/>
        </w:rPr>
        <w:t>with national provider associations</w:t>
      </w:r>
      <w:r w:rsidRPr="005D2678">
        <w:rPr>
          <w:i/>
        </w:rPr>
        <w:t>. We will explicitly call out the need for new approaches in the RFP and loosen requirements in the scope of work to allow for different and more creative solutions.</w:t>
      </w:r>
    </w:p>
    <w:sectPr w:rsidR="00D23A8D" w:rsidRPr="005D2678" w:rsidSect="003218D3">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0F647C" w14:textId="77777777" w:rsidR="00143694" w:rsidRDefault="00143694" w:rsidP="00554743">
      <w:r>
        <w:separator/>
      </w:r>
    </w:p>
  </w:endnote>
  <w:endnote w:type="continuationSeparator" w:id="0">
    <w:p w14:paraId="06D77BA7" w14:textId="77777777" w:rsidR="00143694" w:rsidRDefault="00143694" w:rsidP="005547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1A3D73" w14:textId="03470FE4" w:rsidR="001B3343" w:rsidRDefault="007568F2">
    <w:pPr>
      <w:pStyle w:val="Footer"/>
    </w:pPr>
    <w:r>
      <w:ptab w:relativeTo="margin" w:alignment="center" w:leader="none"/>
    </w:r>
    <w:r>
      <w:fldChar w:fldCharType="begin"/>
    </w:r>
    <w:r>
      <w:instrText xml:space="preserve"> PAGE   \* MERGEFORMAT </w:instrText>
    </w:r>
    <w:r>
      <w:fldChar w:fldCharType="separate"/>
    </w:r>
    <w:r w:rsidR="00D75B41">
      <w:rPr>
        <w:noProof/>
      </w:rPr>
      <w:t>3</w:t>
    </w:r>
    <w:r>
      <w:rPr>
        <w:noProof/>
      </w:rPr>
      <w:fldChar w:fldCharType="end"/>
    </w:r>
    <w:r>
      <w:ptab w:relativeTo="margin" w:alignment="right" w:leader="none"/>
    </w:r>
    <w:r w:rsidR="003218D3">
      <w:t xml:space="preserve">v. </w:t>
    </w:r>
    <w:r w:rsidR="00294FB2">
      <w:t>10/31/2022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3F63B3" w14:textId="77777777" w:rsidR="00143694" w:rsidRDefault="00143694" w:rsidP="00554743">
      <w:r>
        <w:separator/>
      </w:r>
    </w:p>
  </w:footnote>
  <w:footnote w:type="continuationSeparator" w:id="0">
    <w:p w14:paraId="1B163138" w14:textId="77777777" w:rsidR="00143694" w:rsidRDefault="00143694" w:rsidP="005547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6B1A01" w14:textId="77777777" w:rsidR="001B3343" w:rsidRDefault="001B3343" w:rsidP="002B2564">
    <w:pPr>
      <w:pStyle w:val="Header"/>
      <w:tabs>
        <w:tab w:val="clear" w:pos="9360"/>
        <w:tab w:val="right" w:pos="129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7668C"/>
    <w:multiLevelType w:val="hybridMultilevel"/>
    <w:tmpl w:val="AF6EAC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7A5126"/>
    <w:multiLevelType w:val="hybridMultilevel"/>
    <w:tmpl w:val="E14EE7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8296E64"/>
    <w:multiLevelType w:val="hybridMultilevel"/>
    <w:tmpl w:val="83CEF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40625A"/>
    <w:multiLevelType w:val="hybridMultilevel"/>
    <w:tmpl w:val="DC9625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4C3549D"/>
    <w:multiLevelType w:val="hybridMultilevel"/>
    <w:tmpl w:val="B23C4D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524713"/>
    <w:multiLevelType w:val="hybridMultilevel"/>
    <w:tmpl w:val="C5D8664C"/>
    <w:lvl w:ilvl="0" w:tplc="F3C094EA">
      <w:start w:val="7"/>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D93789D"/>
    <w:multiLevelType w:val="hybridMultilevel"/>
    <w:tmpl w:val="DB443D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5E6B20"/>
    <w:multiLevelType w:val="hybridMultilevel"/>
    <w:tmpl w:val="08D299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53A74D8"/>
    <w:multiLevelType w:val="hybridMultilevel"/>
    <w:tmpl w:val="8BD4A7B8"/>
    <w:lvl w:ilvl="0" w:tplc="6D9C990A">
      <w:start w:val="5"/>
      <w:numFmt w:val="decimal"/>
      <w:lvlText w:val="%1."/>
      <w:lvlJc w:val="left"/>
      <w:pPr>
        <w:ind w:left="720" w:hanging="360"/>
      </w:pPr>
      <w:rPr>
        <w:rFonts w:hint="default"/>
      </w:rPr>
    </w:lvl>
    <w:lvl w:ilvl="1" w:tplc="04090019">
      <w:start w:val="1"/>
      <w:numFmt w:val="lowerLetter"/>
      <w:lvlText w:val="%2."/>
      <w:lvlJc w:val="left"/>
      <w:pPr>
        <w:ind w:left="1440" w:hanging="360"/>
      </w:pPr>
    </w:lvl>
    <w:lvl w:ilvl="2" w:tplc="DE307DC8">
      <w:start w:val="5"/>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689482F"/>
    <w:multiLevelType w:val="hybridMultilevel"/>
    <w:tmpl w:val="061CA59A"/>
    <w:lvl w:ilvl="0" w:tplc="94CCC950">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ADC68A6"/>
    <w:multiLevelType w:val="hybridMultilevel"/>
    <w:tmpl w:val="0DF0F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C8B1327"/>
    <w:multiLevelType w:val="hybridMultilevel"/>
    <w:tmpl w:val="FDFE7F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FAE6212"/>
    <w:multiLevelType w:val="hybridMultilevel"/>
    <w:tmpl w:val="3FBC8A02"/>
    <w:lvl w:ilvl="0" w:tplc="04090001">
      <w:start w:val="1"/>
      <w:numFmt w:val="bullet"/>
      <w:lvlText w:val=""/>
      <w:lvlJc w:val="left"/>
      <w:pPr>
        <w:ind w:left="711" w:hanging="360"/>
      </w:pPr>
      <w:rPr>
        <w:rFonts w:ascii="Symbol" w:hAnsi="Symbol" w:hint="default"/>
      </w:rPr>
    </w:lvl>
    <w:lvl w:ilvl="1" w:tplc="04090003" w:tentative="1">
      <w:start w:val="1"/>
      <w:numFmt w:val="bullet"/>
      <w:lvlText w:val="o"/>
      <w:lvlJc w:val="left"/>
      <w:pPr>
        <w:ind w:left="1431" w:hanging="360"/>
      </w:pPr>
      <w:rPr>
        <w:rFonts w:ascii="Courier New" w:hAnsi="Courier New" w:cs="Courier New" w:hint="default"/>
      </w:rPr>
    </w:lvl>
    <w:lvl w:ilvl="2" w:tplc="04090005" w:tentative="1">
      <w:start w:val="1"/>
      <w:numFmt w:val="bullet"/>
      <w:lvlText w:val=""/>
      <w:lvlJc w:val="left"/>
      <w:pPr>
        <w:ind w:left="2151" w:hanging="360"/>
      </w:pPr>
      <w:rPr>
        <w:rFonts w:ascii="Wingdings" w:hAnsi="Wingdings" w:hint="default"/>
      </w:rPr>
    </w:lvl>
    <w:lvl w:ilvl="3" w:tplc="04090001" w:tentative="1">
      <w:start w:val="1"/>
      <w:numFmt w:val="bullet"/>
      <w:lvlText w:val=""/>
      <w:lvlJc w:val="left"/>
      <w:pPr>
        <w:ind w:left="2871" w:hanging="360"/>
      </w:pPr>
      <w:rPr>
        <w:rFonts w:ascii="Symbol" w:hAnsi="Symbol" w:hint="default"/>
      </w:rPr>
    </w:lvl>
    <w:lvl w:ilvl="4" w:tplc="04090003" w:tentative="1">
      <w:start w:val="1"/>
      <w:numFmt w:val="bullet"/>
      <w:lvlText w:val="o"/>
      <w:lvlJc w:val="left"/>
      <w:pPr>
        <w:ind w:left="3591" w:hanging="360"/>
      </w:pPr>
      <w:rPr>
        <w:rFonts w:ascii="Courier New" w:hAnsi="Courier New" w:cs="Courier New" w:hint="default"/>
      </w:rPr>
    </w:lvl>
    <w:lvl w:ilvl="5" w:tplc="04090005" w:tentative="1">
      <w:start w:val="1"/>
      <w:numFmt w:val="bullet"/>
      <w:lvlText w:val=""/>
      <w:lvlJc w:val="left"/>
      <w:pPr>
        <w:ind w:left="4311" w:hanging="360"/>
      </w:pPr>
      <w:rPr>
        <w:rFonts w:ascii="Wingdings" w:hAnsi="Wingdings" w:hint="default"/>
      </w:rPr>
    </w:lvl>
    <w:lvl w:ilvl="6" w:tplc="04090001" w:tentative="1">
      <w:start w:val="1"/>
      <w:numFmt w:val="bullet"/>
      <w:lvlText w:val=""/>
      <w:lvlJc w:val="left"/>
      <w:pPr>
        <w:ind w:left="5031" w:hanging="360"/>
      </w:pPr>
      <w:rPr>
        <w:rFonts w:ascii="Symbol" w:hAnsi="Symbol" w:hint="default"/>
      </w:rPr>
    </w:lvl>
    <w:lvl w:ilvl="7" w:tplc="04090003" w:tentative="1">
      <w:start w:val="1"/>
      <w:numFmt w:val="bullet"/>
      <w:lvlText w:val="o"/>
      <w:lvlJc w:val="left"/>
      <w:pPr>
        <w:ind w:left="5751" w:hanging="360"/>
      </w:pPr>
      <w:rPr>
        <w:rFonts w:ascii="Courier New" w:hAnsi="Courier New" w:cs="Courier New" w:hint="default"/>
      </w:rPr>
    </w:lvl>
    <w:lvl w:ilvl="8" w:tplc="04090005" w:tentative="1">
      <w:start w:val="1"/>
      <w:numFmt w:val="bullet"/>
      <w:lvlText w:val=""/>
      <w:lvlJc w:val="left"/>
      <w:pPr>
        <w:ind w:left="6471" w:hanging="360"/>
      </w:pPr>
      <w:rPr>
        <w:rFonts w:ascii="Wingdings" w:hAnsi="Wingdings" w:hint="default"/>
      </w:rPr>
    </w:lvl>
  </w:abstractNum>
  <w:abstractNum w:abstractNumId="13" w15:restartNumberingAfterBreak="0">
    <w:nsid w:val="5FB72B4F"/>
    <w:multiLevelType w:val="hybridMultilevel"/>
    <w:tmpl w:val="47DAF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B527587"/>
    <w:multiLevelType w:val="hybridMultilevel"/>
    <w:tmpl w:val="197C2FDA"/>
    <w:lvl w:ilvl="0" w:tplc="A470F968">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F5C6F9A"/>
    <w:multiLevelType w:val="hybridMultilevel"/>
    <w:tmpl w:val="508C785C"/>
    <w:lvl w:ilvl="0" w:tplc="4894B67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8"/>
  </w:num>
  <w:num w:numId="3">
    <w:abstractNumId w:val="9"/>
  </w:num>
  <w:num w:numId="4">
    <w:abstractNumId w:val="14"/>
  </w:num>
  <w:num w:numId="5">
    <w:abstractNumId w:val="5"/>
  </w:num>
  <w:num w:numId="6">
    <w:abstractNumId w:val="2"/>
  </w:num>
  <w:num w:numId="7">
    <w:abstractNumId w:val="13"/>
  </w:num>
  <w:num w:numId="8">
    <w:abstractNumId w:val="10"/>
  </w:num>
  <w:num w:numId="9">
    <w:abstractNumId w:val="11"/>
  </w:num>
  <w:num w:numId="10">
    <w:abstractNumId w:val="0"/>
  </w:num>
  <w:num w:numId="11">
    <w:abstractNumId w:val="1"/>
  </w:num>
  <w:num w:numId="12">
    <w:abstractNumId w:val="4"/>
  </w:num>
  <w:num w:numId="13">
    <w:abstractNumId w:val="7"/>
  </w:num>
  <w:num w:numId="14">
    <w:abstractNumId w:val="12"/>
  </w:num>
  <w:num w:numId="15">
    <w:abstractNumId w:val="6"/>
  </w:num>
  <w:num w:numId="16">
    <w:abstractNumId w:val="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6BB7"/>
    <w:rsid w:val="0000243A"/>
    <w:rsid w:val="00017D59"/>
    <w:rsid w:val="00021779"/>
    <w:rsid w:val="00021E68"/>
    <w:rsid w:val="00035E31"/>
    <w:rsid w:val="000542D1"/>
    <w:rsid w:val="00066BED"/>
    <w:rsid w:val="00066D46"/>
    <w:rsid w:val="0007464B"/>
    <w:rsid w:val="00086D2B"/>
    <w:rsid w:val="000B6B4C"/>
    <w:rsid w:val="000D3DF7"/>
    <w:rsid w:val="000D6FE7"/>
    <w:rsid w:val="000E499A"/>
    <w:rsid w:val="000F3BA2"/>
    <w:rsid w:val="00107752"/>
    <w:rsid w:val="0011122D"/>
    <w:rsid w:val="00117F45"/>
    <w:rsid w:val="00121473"/>
    <w:rsid w:val="00121662"/>
    <w:rsid w:val="00133CC1"/>
    <w:rsid w:val="00143694"/>
    <w:rsid w:val="00147EDC"/>
    <w:rsid w:val="0015391D"/>
    <w:rsid w:val="001821AA"/>
    <w:rsid w:val="00185C8E"/>
    <w:rsid w:val="00187DA1"/>
    <w:rsid w:val="0019294D"/>
    <w:rsid w:val="00197EEE"/>
    <w:rsid w:val="001A7115"/>
    <w:rsid w:val="001A77EF"/>
    <w:rsid w:val="001B04F9"/>
    <w:rsid w:val="001B3343"/>
    <w:rsid w:val="001B6AF0"/>
    <w:rsid w:val="001C7020"/>
    <w:rsid w:val="001C798E"/>
    <w:rsid w:val="001D0C93"/>
    <w:rsid w:val="001D4766"/>
    <w:rsid w:val="001D5D4B"/>
    <w:rsid w:val="001D633A"/>
    <w:rsid w:val="001E500B"/>
    <w:rsid w:val="001F0B08"/>
    <w:rsid w:val="00200F62"/>
    <w:rsid w:val="0020284A"/>
    <w:rsid w:val="00210431"/>
    <w:rsid w:val="002179F4"/>
    <w:rsid w:val="0022430B"/>
    <w:rsid w:val="00231988"/>
    <w:rsid w:val="0024606E"/>
    <w:rsid w:val="00253812"/>
    <w:rsid w:val="00255592"/>
    <w:rsid w:val="002620B9"/>
    <w:rsid w:val="0027659E"/>
    <w:rsid w:val="00286D22"/>
    <w:rsid w:val="00294FB2"/>
    <w:rsid w:val="002A3F5F"/>
    <w:rsid w:val="002B2564"/>
    <w:rsid w:val="002C5A5F"/>
    <w:rsid w:val="002D5D52"/>
    <w:rsid w:val="002E572D"/>
    <w:rsid w:val="00306E36"/>
    <w:rsid w:val="00307B6E"/>
    <w:rsid w:val="00307C90"/>
    <w:rsid w:val="003217C7"/>
    <w:rsid w:val="003218D3"/>
    <w:rsid w:val="0032282F"/>
    <w:rsid w:val="00331871"/>
    <w:rsid w:val="00333495"/>
    <w:rsid w:val="0033641D"/>
    <w:rsid w:val="003454E4"/>
    <w:rsid w:val="00347C61"/>
    <w:rsid w:val="003737A1"/>
    <w:rsid w:val="00394A13"/>
    <w:rsid w:val="003A06DB"/>
    <w:rsid w:val="003A4F40"/>
    <w:rsid w:val="003A7215"/>
    <w:rsid w:val="003B0270"/>
    <w:rsid w:val="003B40EE"/>
    <w:rsid w:val="003E0260"/>
    <w:rsid w:val="003E3987"/>
    <w:rsid w:val="003E415D"/>
    <w:rsid w:val="003E41C7"/>
    <w:rsid w:val="003F3240"/>
    <w:rsid w:val="003F3791"/>
    <w:rsid w:val="003F581A"/>
    <w:rsid w:val="00401F05"/>
    <w:rsid w:val="00402FA3"/>
    <w:rsid w:val="00407EE4"/>
    <w:rsid w:val="004346DF"/>
    <w:rsid w:val="0043582B"/>
    <w:rsid w:val="004377D7"/>
    <w:rsid w:val="00437BC6"/>
    <w:rsid w:val="00440F13"/>
    <w:rsid w:val="0048252C"/>
    <w:rsid w:val="00483014"/>
    <w:rsid w:val="004973F0"/>
    <w:rsid w:val="004A46B4"/>
    <w:rsid w:val="004A4CA6"/>
    <w:rsid w:val="004A5971"/>
    <w:rsid w:val="004B2251"/>
    <w:rsid w:val="004B329B"/>
    <w:rsid w:val="004B3DE5"/>
    <w:rsid w:val="004B4292"/>
    <w:rsid w:val="004C49DF"/>
    <w:rsid w:val="004D2C1A"/>
    <w:rsid w:val="004E5AAF"/>
    <w:rsid w:val="004F1D1F"/>
    <w:rsid w:val="004F536C"/>
    <w:rsid w:val="004F5ECF"/>
    <w:rsid w:val="00514FCE"/>
    <w:rsid w:val="00516DD0"/>
    <w:rsid w:val="00521D74"/>
    <w:rsid w:val="00536784"/>
    <w:rsid w:val="00547BB1"/>
    <w:rsid w:val="00547CAF"/>
    <w:rsid w:val="005539FA"/>
    <w:rsid w:val="00554743"/>
    <w:rsid w:val="005644AB"/>
    <w:rsid w:val="00577F42"/>
    <w:rsid w:val="00582C6E"/>
    <w:rsid w:val="005969C5"/>
    <w:rsid w:val="005C29B3"/>
    <w:rsid w:val="005D2678"/>
    <w:rsid w:val="005D68DF"/>
    <w:rsid w:val="005E3BFE"/>
    <w:rsid w:val="005F7777"/>
    <w:rsid w:val="006206CB"/>
    <w:rsid w:val="006273D3"/>
    <w:rsid w:val="006427F9"/>
    <w:rsid w:val="00650A50"/>
    <w:rsid w:val="00652A92"/>
    <w:rsid w:val="00667959"/>
    <w:rsid w:val="00670AE1"/>
    <w:rsid w:val="00670D18"/>
    <w:rsid w:val="00676308"/>
    <w:rsid w:val="006807DD"/>
    <w:rsid w:val="00681259"/>
    <w:rsid w:val="00683BBC"/>
    <w:rsid w:val="00686794"/>
    <w:rsid w:val="00687335"/>
    <w:rsid w:val="006A24D5"/>
    <w:rsid w:val="006A6A52"/>
    <w:rsid w:val="006B1523"/>
    <w:rsid w:val="006B32E3"/>
    <w:rsid w:val="006D01F6"/>
    <w:rsid w:val="006D0EC4"/>
    <w:rsid w:val="006D360F"/>
    <w:rsid w:val="006F70A7"/>
    <w:rsid w:val="00723310"/>
    <w:rsid w:val="0072645D"/>
    <w:rsid w:val="00741E3D"/>
    <w:rsid w:val="007568F2"/>
    <w:rsid w:val="0077771E"/>
    <w:rsid w:val="00786BF8"/>
    <w:rsid w:val="007B7BE0"/>
    <w:rsid w:val="007B7D15"/>
    <w:rsid w:val="007C0877"/>
    <w:rsid w:val="007C5B73"/>
    <w:rsid w:val="007D7AF5"/>
    <w:rsid w:val="007E0EFB"/>
    <w:rsid w:val="007E1B47"/>
    <w:rsid w:val="007F399A"/>
    <w:rsid w:val="007F5BD9"/>
    <w:rsid w:val="00806E1C"/>
    <w:rsid w:val="008213CB"/>
    <w:rsid w:val="00821FBE"/>
    <w:rsid w:val="00826D6E"/>
    <w:rsid w:val="008309D8"/>
    <w:rsid w:val="00843262"/>
    <w:rsid w:val="0084364B"/>
    <w:rsid w:val="0088037B"/>
    <w:rsid w:val="008965D7"/>
    <w:rsid w:val="008B3D94"/>
    <w:rsid w:val="008B6E22"/>
    <w:rsid w:val="008D7F2F"/>
    <w:rsid w:val="008E4590"/>
    <w:rsid w:val="008E73E2"/>
    <w:rsid w:val="00907F6B"/>
    <w:rsid w:val="00911482"/>
    <w:rsid w:val="00911ACC"/>
    <w:rsid w:val="00915EF8"/>
    <w:rsid w:val="00916EA5"/>
    <w:rsid w:val="0092246A"/>
    <w:rsid w:val="00922E2F"/>
    <w:rsid w:val="00933408"/>
    <w:rsid w:val="009427C0"/>
    <w:rsid w:val="00945DDB"/>
    <w:rsid w:val="00964180"/>
    <w:rsid w:val="00964715"/>
    <w:rsid w:val="00973472"/>
    <w:rsid w:val="009737B3"/>
    <w:rsid w:val="009772EB"/>
    <w:rsid w:val="00985180"/>
    <w:rsid w:val="009955BD"/>
    <w:rsid w:val="009B0B97"/>
    <w:rsid w:val="009C11A4"/>
    <w:rsid w:val="009D123F"/>
    <w:rsid w:val="009D3177"/>
    <w:rsid w:val="009E447C"/>
    <w:rsid w:val="009E7E00"/>
    <w:rsid w:val="009E7E23"/>
    <w:rsid w:val="00A0071A"/>
    <w:rsid w:val="00A0398B"/>
    <w:rsid w:val="00A10430"/>
    <w:rsid w:val="00A12635"/>
    <w:rsid w:val="00A26553"/>
    <w:rsid w:val="00A408DB"/>
    <w:rsid w:val="00A40AC8"/>
    <w:rsid w:val="00A45636"/>
    <w:rsid w:val="00A75F71"/>
    <w:rsid w:val="00A94817"/>
    <w:rsid w:val="00AA0E5D"/>
    <w:rsid w:val="00AA560A"/>
    <w:rsid w:val="00AA6564"/>
    <w:rsid w:val="00AB3147"/>
    <w:rsid w:val="00AB6732"/>
    <w:rsid w:val="00AC62E7"/>
    <w:rsid w:val="00AD2C7B"/>
    <w:rsid w:val="00AD39C3"/>
    <w:rsid w:val="00AF32ED"/>
    <w:rsid w:val="00AF472F"/>
    <w:rsid w:val="00B1001F"/>
    <w:rsid w:val="00B1158E"/>
    <w:rsid w:val="00B33119"/>
    <w:rsid w:val="00B4630B"/>
    <w:rsid w:val="00B51C3E"/>
    <w:rsid w:val="00B52F51"/>
    <w:rsid w:val="00B66DA1"/>
    <w:rsid w:val="00B75A69"/>
    <w:rsid w:val="00B97E78"/>
    <w:rsid w:val="00BA1549"/>
    <w:rsid w:val="00BA180C"/>
    <w:rsid w:val="00BB2805"/>
    <w:rsid w:val="00BB4E06"/>
    <w:rsid w:val="00BC6112"/>
    <w:rsid w:val="00BD6D41"/>
    <w:rsid w:val="00BE0DC3"/>
    <w:rsid w:val="00BF3921"/>
    <w:rsid w:val="00BF7348"/>
    <w:rsid w:val="00C033AB"/>
    <w:rsid w:val="00C037C3"/>
    <w:rsid w:val="00C11CB8"/>
    <w:rsid w:val="00C12999"/>
    <w:rsid w:val="00C16135"/>
    <w:rsid w:val="00C16EDD"/>
    <w:rsid w:val="00C16F14"/>
    <w:rsid w:val="00C16F30"/>
    <w:rsid w:val="00C2239E"/>
    <w:rsid w:val="00C231BF"/>
    <w:rsid w:val="00C30D76"/>
    <w:rsid w:val="00C32682"/>
    <w:rsid w:val="00C4261C"/>
    <w:rsid w:val="00C43478"/>
    <w:rsid w:val="00C44494"/>
    <w:rsid w:val="00C54E39"/>
    <w:rsid w:val="00C57373"/>
    <w:rsid w:val="00C75232"/>
    <w:rsid w:val="00C95D3D"/>
    <w:rsid w:val="00CB41AC"/>
    <w:rsid w:val="00CB5DBE"/>
    <w:rsid w:val="00CC150E"/>
    <w:rsid w:val="00CD1E21"/>
    <w:rsid w:val="00CD4809"/>
    <w:rsid w:val="00CF2D9D"/>
    <w:rsid w:val="00CF676A"/>
    <w:rsid w:val="00D1099D"/>
    <w:rsid w:val="00D1187C"/>
    <w:rsid w:val="00D20BC3"/>
    <w:rsid w:val="00D23A8D"/>
    <w:rsid w:val="00D34DAA"/>
    <w:rsid w:val="00D36BB7"/>
    <w:rsid w:val="00D5546E"/>
    <w:rsid w:val="00D62B84"/>
    <w:rsid w:val="00D65715"/>
    <w:rsid w:val="00D70B04"/>
    <w:rsid w:val="00D7376E"/>
    <w:rsid w:val="00D753A7"/>
    <w:rsid w:val="00D75B41"/>
    <w:rsid w:val="00D820F0"/>
    <w:rsid w:val="00D83CC3"/>
    <w:rsid w:val="00D87257"/>
    <w:rsid w:val="00DA19A6"/>
    <w:rsid w:val="00DA2E19"/>
    <w:rsid w:val="00DB6F60"/>
    <w:rsid w:val="00DC2B13"/>
    <w:rsid w:val="00DC77A2"/>
    <w:rsid w:val="00DD05E0"/>
    <w:rsid w:val="00DD423A"/>
    <w:rsid w:val="00E14678"/>
    <w:rsid w:val="00E1790C"/>
    <w:rsid w:val="00E52C05"/>
    <w:rsid w:val="00E53C1F"/>
    <w:rsid w:val="00E540F8"/>
    <w:rsid w:val="00E70E8C"/>
    <w:rsid w:val="00E74CC2"/>
    <w:rsid w:val="00E8709C"/>
    <w:rsid w:val="00EB5CDB"/>
    <w:rsid w:val="00F05A54"/>
    <w:rsid w:val="00F05F04"/>
    <w:rsid w:val="00F11B16"/>
    <w:rsid w:val="00F131FF"/>
    <w:rsid w:val="00F3357C"/>
    <w:rsid w:val="00F401C9"/>
    <w:rsid w:val="00F46FEC"/>
    <w:rsid w:val="00F555E8"/>
    <w:rsid w:val="00F70AE4"/>
    <w:rsid w:val="00F72504"/>
    <w:rsid w:val="00F734BF"/>
    <w:rsid w:val="00F75466"/>
    <w:rsid w:val="00F84C8F"/>
    <w:rsid w:val="00F935D0"/>
    <w:rsid w:val="00FA3B6C"/>
    <w:rsid w:val="00FC0C67"/>
    <w:rsid w:val="00FC3704"/>
    <w:rsid w:val="00FC4B8A"/>
    <w:rsid w:val="00FC5DD9"/>
    <w:rsid w:val="00FC66E6"/>
    <w:rsid w:val="00FC673E"/>
    <w:rsid w:val="00FD23F7"/>
    <w:rsid w:val="00FD58E1"/>
    <w:rsid w:val="00FE2A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B64FCB"/>
  <w15:chartTrackingRefBased/>
  <w15:docId w15:val="{1FE7899D-2336-4EA2-9F7F-7A1E91817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77D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54743"/>
    <w:pPr>
      <w:tabs>
        <w:tab w:val="center" w:pos="4680"/>
        <w:tab w:val="right" w:pos="9360"/>
      </w:tabs>
    </w:pPr>
  </w:style>
  <w:style w:type="character" w:customStyle="1" w:styleId="HeaderChar">
    <w:name w:val="Header Char"/>
    <w:basedOn w:val="DefaultParagraphFont"/>
    <w:link w:val="Header"/>
    <w:uiPriority w:val="99"/>
    <w:rsid w:val="00554743"/>
  </w:style>
  <w:style w:type="paragraph" w:styleId="Footer">
    <w:name w:val="footer"/>
    <w:basedOn w:val="Normal"/>
    <w:link w:val="FooterChar"/>
    <w:uiPriority w:val="99"/>
    <w:unhideWhenUsed/>
    <w:rsid w:val="00554743"/>
    <w:pPr>
      <w:tabs>
        <w:tab w:val="center" w:pos="4680"/>
        <w:tab w:val="right" w:pos="9360"/>
      </w:tabs>
    </w:pPr>
  </w:style>
  <w:style w:type="character" w:customStyle="1" w:styleId="FooterChar">
    <w:name w:val="Footer Char"/>
    <w:basedOn w:val="DefaultParagraphFont"/>
    <w:link w:val="Footer"/>
    <w:uiPriority w:val="99"/>
    <w:rsid w:val="00554743"/>
  </w:style>
  <w:style w:type="paragraph" w:styleId="ListParagraph">
    <w:name w:val="List Paragraph"/>
    <w:basedOn w:val="Normal"/>
    <w:uiPriority w:val="34"/>
    <w:qFormat/>
    <w:rsid w:val="00554743"/>
    <w:pPr>
      <w:ind w:left="720"/>
      <w:contextualSpacing/>
    </w:pPr>
  </w:style>
  <w:style w:type="character" w:styleId="CommentReference">
    <w:name w:val="annotation reference"/>
    <w:basedOn w:val="DefaultParagraphFont"/>
    <w:uiPriority w:val="99"/>
    <w:semiHidden/>
    <w:unhideWhenUsed/>
    <w:rsid w:val="00554743"/>
    <w:rPr>
      <w:sz w:val="16"/>
      <w:szCs w:val="16"/>
    </w:rPr>
  </w:style>
  <w:style w:type="paragraph" w:styleId="CommentText">
    <w:name w:val="annotation text"/>
    <w:basedOn w:val="Normal"/>
    <w:link w:val="CommentTextChar"/>
    <w:uiPriority w:val="99"/>
    <w:semiHidden/>
    <w:unhideWhenUsed/>
    <w:rsid w:val="00554743"/>
    <w:rPr>
      <w:sz w:val="20"/>
      <w:szCs w:val="20"/>
    </w:rPr>
  </w:style>
  <w:style w:type="character" w:customStyle="1" w:styleId="CommentTextChar">
    <w:name w:val="Comment Text Char"/>
    <w:basedOn w:val="DefaultParagraphFont"/>
    <w:link w:val="CommentText"/>
    <w:uiPriority w:val="99"/>
    <w:semiHidden/>
    <w:rsid w:val="00554743"/>
    <w:rPr>
      <w:sz w:val="20"/>
      <w:szCs w:val="20"/>
    </w:rPr>
  </w:style>
  <w:style w:type="paragraph" w:styleId="CommentSubject">
    <w:name w:val="annotation subject"/>
    <w:basedOn w:val="CommentText"/>
    <w:next w:val="CommentText"/>
    <w:link w:val="CommentSubjectChar"/>
    <w:uiPriority w:val="99"/>
    <w:semiHidden/>
    <w:unhideWhenUsed/>
    <w:rsid w:val="00554743"/>
    <w:rPr>
      <w:b/>
      <w:bCs/>
    </w:rPr>
  </w:style>
  <w:style w:type="character" w:customStyle="1" w:styleId="CommentSubjectChar">
    <w:name w:val="Comment Subject Char"/>
    <w:basedOn w:val="CommentTextChar"/>
    <w:link w:val="CommentSubject"/>
    <w:uiPriority w:val="99"/>
    <w:semiHidden/>
    <w:rsid w:val="00554743"/>
    <w:rPr>
      <w:b/>
      <w:bCs/>
      <w:sz w:val="20"/>
      <w:szCs w:val="20"/>
    </w:rPr>
  </w:style>
  <w:style w:type="paragraph" w:styleId="BalloonText">
    <w:name w:val="Balloon Text"/>
    <w:basedOn w:val="Normal"/>
    <w:link w:val="BalloonTextChar"/>
    <w:uiPriority w:val="99"/>
    <w:semiHidden/>
    <w:unhideWhenUsed/>
    <w:rsid w:val="0055474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4743"/>
    <w:rPr>
      <w:rFonts w:ascii="Segoe UI" w:hAnsi="Segoe UI" w:cs="Segoe UI"/>
      <w:sz w:val="18"/>
      <w:szCs w:val="18"/>
    </w:rPr>
  </w:style>
  <w:style w:type="table" w:styleId="TableGrid">
    <w:name w:val="Table Grid"/>
    <w:basedOn w:val="TableNormal"/>
    <w:uiPriority w:val="39"/>
    <w:rsid w:val="005547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76308"/>
    <w:rPr>
      <w:sz w:val="20"/>
      <w:szCs w:val="20"/>
    </w:rPr>
  </w:style>
  <w:style w:type="character" w:customStyle="1" w:styleId="FootnoteTextChar">
    <w:name w:val="Footnote Text Char"/>
    <w:basedOn w:val="DefaultParagraphFont"/>
    <w:link w:val="FootnoteText"/>
    <w:uiPriority w:val="99"/>
    <w:semiHidden/>
    <w:rsid w:val="00676308"/>
    <w:rPr>
      <w:sz w:val="20"/>
      <w:szCs w:val="20"/>
    </w:rPr>
  </w:style>
  <w:style w:type="character" w:styleId="FootnoteReference">
    <w:name w:val="footnote reference"/>
    <w:basedOn w:val="DefaultParagraphFont"/>
    <w:uiPriority w:val="99"/>
    <w:semiHidden/>
    <w:unhideWhenUsed/>
    <w:rsid w:val="00676308"/>
    <w:rPr>
      <w:vertAlign w:val="superscript"/>
    </w:rPr>
  </w:style>
  <w:style w:type="character" w:styleId="Hyperlink">
    <w:name w:val="Hyperlink"/>
    <w:basedOn w:val="DefaultParagraphFont"/>
    <w:uiPriority w:val="99"/>
    <w:unhideWhenUsed/>
    <w:rsid w:val="0067630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ridop.ri.gov/node/60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BF7DAC-0847-43A1-9C07-2260BF6982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1558</Words>
  <Characters>8881</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Mertz, Kate</dc:creator>
  <cp:keywords/>
  <dc:description/>
  <cp:lastModifiedBy>Pomfret, Alicia (DOA)</cp:lastModifiedBy>
  <cp:revision>8</cp:revision>
  <dcterms:created xsi:type="dcterms:W3CDTF">2018-05-14T14:26:00Z</dcterms:created>
  <dcterms:modified xsi:type="dcterms:W3CDTF">2022-11-01T12:54:00Z</dcterms:modified>
</cp:coreProperties>
</file>