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69B11" w14:textId="6DA9C2D1" w:rsidR="00195FAE" w:rsidRDefault="004B231D" w:rsidP="00195FAE">
      <w:pPr>
        <w:spacing w:before="120"/>
        <w:ind w:left="187"/>
        <w:rPr>
          <w:i/>
          <w:sz w:val="20"/>
          <w:szCs w:val="20"/>
        </w:rPr>
      </w:pPr>
      <w:r w:rsidRPr="00687DAA">
        <w:rPr>
          <w:b/>
          <w:noProof/>
          <w:color w:val="FFFFFF" w:themeColor="background1"/>
        </w:rPr>
        <w:drawing>
          <wp:anchor distT="0" distB="0" distL="114300" distR="114300" simplePos="0" relativeHeight="251662336" behindDoc="1" locked="0" layoutInCell="1" allowOverlap="1" wp14:anchorId="543F01F8" wp14:editId="3155BBDE">
            <wp:simplePos x="0" y="0"/>
            <wp:positionH relativeFrom="margin">
              <wp:align>left</wp:align>
            </wp:positionH>
            <wp:positionV relativeFrom="paragraph">
              <wp:posOffset>72011</wp:posOffset>
            </wp:positionV>
            <wp:extent cx="2529444" cy="715735"/>
            <wp:effectExtent l="0" t="0" r="4445" b="8255"/>
            <wp:wrapNone/>
            <wp:docPr id="1" name="Picture 1" descr="Rhode Island Division of Purc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ode Island Division of Purchases"/>
                    <pic:cNvPicPr>
                      <a:picLocks noChangeAspect="1" noChangeArrowheads="1"/>
                    </pic:cNvPicPr>
                  </pic:nvPicPr>
                  <pic:blipFill rotWithShape="1">
                    <a:blip r:embed="rId8">
                      <a:extLst>
                        <a:ext uri="{28A0092B-C50C-407E-A947-70E740481C1C}">
                          <a14:useLocalDpi xmlns:a14="http://schemas.microsoft.com/office/drawing/2010/main" val="0"/>
                        </a:ext>
                      </a:extLst>
                    </a:blip>
                    <a:srcRect r="34871"/>
                    <a:stretch/>
                  </pic:blipFill>
                  <pic:spPr bwMode="auto">
                    <a:xfrm>
                      <a:off x="0" y="0"/>
                      <a:ext cx="2529444" cy="715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5FAE" w:rsidRPr="00195FAE">
        <w:rPr>
          <w:b/>
          <w:noProof/>
          <w:color w:val="FFFFFF" w:themeColor="background1"/>
        </w:rPr>
        <mc:AlternateContent>
          <mc:Choice Requires="wps">
            <w:drawing>
              <wp:anchor distT="45720" distB="45720" distL="114300" distR="114300" simplePos="0" relativeHeight="251660288" behindDoc="0" locked="0" layoutInCell="1" allowOverlap="1" wp14:anchorId="613FD3F4" wp14:editId="568754C4">
                <wp:simplePos x="0" y="0"/>
                <wp:positionH relativeFrom="column">
                  <wp:posOffset>3327977</wp:posOffset>
                </wp:positionH>
                <wp:positionV relativeFrom="paragraph">
                  <wp:posOffset>82550</wp:posOffset>
                </wp:positionV>
                <wp:extent cx="4827444" cy="7334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444" cy="733425"/>
                        </a:xfrm>
                        <a:prstGeom prst="rect">
                          <a:avLst/>
                        </a:prstGeom>
                        <a:noFill/>
                        <a:ln w="9525">
                          <a:noFill/>
                          <a:miter lim="800000"/>
                          <a:headEnd/>
                          <a:tailEnd/>
                        </a:ln>
                      </wps:spPr>
                      <wps:txbx>
                        <w:txbxContent>
                          <w:p w14:paraId="6CFB2E46" w14:textId="423ADC1D" w:rsidR="00195FAE" w:rsidRPr="004B231D" w:rsidRDefault="00754078" w:rsidP="00195FAE">
                            <w:pPr>
                              <w:spacing w:after="0" w:line="240" w:lineRule="auto"/>
                              <w:jc w:val="center"/>
                              <w:rPr>
                                <w:b/>
                                <w:color w:val="FFFFFF" w:themeColor="background1"/>
                                <w:sz w:val="32"/>
                                <w:szCs w:val="32"/>
                              </w:rPr>
                            </w:pPr>
                            <w:r w:rsidRPr="004B231D">
                              <w:rPr>
                                <w:b/>
                                <w:color w:val="FFFFFF" w:themeColor="background1"/>
                                <w:sz w:val="32"/>
                                <w:szCs w:val="32"/>
                              </w:rPr>
                              <w:t>Preparing for Active Contract Management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3FD3F4" id="_x0000_t202" coordsize="21600,21600" o:spt="202" path="m,l,21600r21600,l21600,xe">
                <v:stroke joinstyle="miter"/>
                <v:path gradientshapeok="t" o:connecttype="rect"/>
              </v:shapetype>
              <v:shape id="Text Box 2" o:spid="_x0000_s1026" type="#_x0000_t202" style="position:absolute;left:0;text-align:left;margin-left:262.05pt;margin-top:6.5pt;width:380.1pt;height:5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" filled="f" stroked="f">
                <v:textbox>
                  <w:txbxContent>
                    <w:p w14:paraId="6CFB2E46" w14:textId="423ADC1D" w:rsidR="00195FAE" w:rsidRPr="004B231D" w:rsidRDefault="00754078" w:rsidP="00195FAE">
                      <w:pPr>
                        <w:spacing w:after="0" w:line="240" w:lineRule="auto"/>
                        <w:jc w:val="center"/>
                        <w:rPr>
                          <w:b/>
                          <w:color w:val="FFFFFF" w:themeColor="background1"/>
                          <w:sz w:val="32"/>
                          <w:szCs w:val="32"/>
                        </w:rPr>
                      </w:pPr>
                      <w:r w:rsidRPr="004B231D">
                        <w:rPr>
                          <w:b/>
                          <w:color w:val="FFFFFF" w:themeColor="background1"/>
                          <w:sz w:val="32"/>
                          <w:szCs w:val="32"/>
                        </w:rPr>
                        <w:t>Preparing for Active Contract Management</w:t>
                      </w:r>
                    </w:p>
                  </w:txbxContent>
                </v:textbox>
              </v:shape>
            </w:pict>
          </mc:Fallback>
        </mc:AlternateContent>
      </w:r>
      <w:r w:rsidR="00195FAE" w:rsidRPr="00195FAE">
        <w:rPr>
          <w:b/>
          <w:noProof/>
          <w:color w:val="FFFFFF" w:themeColor="background1"/>
        </w:rPr>
        <mc:AlternateContent>
          <mc:Choice Requires="wps">
            <w:drawing>
              <wp:anchor distT="0" distB="0" distL="114300" distR="114300" simplePos="0" relativeHeight="251659264" behindDoc="1" locked="0" layoutInCell="1" allowOverlap="1" wp14:anchorId="04262F45" wp14:editId="1A05A514">
                <wp:simplePos x="0" y="0"/>
                <wp:positionH relativeFrom="margin">
                  <wp:align>right</wp:align>
                </wp:positionH>
                <wp:positionV relativeFrom="paragraph">
                  <wp:posOffset>0</wp:posOffset>
                </wp:positionV>
                <wp:extent cx="8658225" cy="833755"/>
                <wp:effectExtent l="0" t="0" r="28575" b="23495"/>
                <wp:wrapNone/>
                <wp:docPr id="2" name="Rectangle 2"/>
                <wp:cNvGraphicFramePr/>
                <a:graphic xmlns:a="http://schemas.openxmlformats.org/drawingml/2006/main">
                  <a:graphicData uri="http://schemas.microsoft.com/office/word/2010/wordprocessingShape">
                    <wps:wsp>
                      <wps:cNvSpPr/>
                      <wps:spPr>
                        <a:xfrm>
                          <a:off x="0" y="0"/>
                          <a:ext cx="8658225" cy="833755"/>
                        </a:xfrm>
                        <a:prstGeom prst="rect">
                          <a:avLst/>
                        </a:prstGeom>
                        <a:solidFill>
                          <a:srgbClr val="003A67"/>
                        </a:solidFill>
                        <a:ln>
                          <a:solidFill>
                            <a:srgbClr val="003A6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4AEDD" id="Rectangle 2" o:spid="_x0000_s1026" style="position:absolute;margin-left:630.55pt;margin-top:0;width:681.75pt;height:65.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" fillcolor="#003a67" strokecolor="#003a67" strokeweight="1pt">
                <w10:wrap anchorx="margin"/>
              </v:rect>
            </w:pict>
          </mc:Fallback>
        </mc:AlternateContent>
      </w:r>
    </w:p>
    <w:p w14:paraId="03F49393" w14:textId="77777777" w:rsidR="00195FAE" w:rsidRDefault="00195FAE" w:rsidP="00554743">
      <w:pPr>
        <w:rPr>
          <w:i/>
          <w:sz w:val="20"/>
          <w:szCs w:val="20"/>
        </w:rPr>
      </w:pPr>
    </w:p>
    <w:p w14:paraId="3B1D054F" w14:textId="77777777" w:rsidR="00195FAE" w:rsidRDefault="00195FAE" w:rsidP="00554743">
      <w:pPr>
        <w:rPr>
          <w:i/>
          <w:sz w:val="20"/>
          <w:szCs w:val="20"/>
        </w:rPr>
      </w:pPr>
    </w:p>
    <w:p w14:paraId="7A17E110" w14:textId="1660AE16" w:rsidR="00483014" w:rsidRPr="00683BBC" w:rsidRDefault="00483014" w:rsidP="00554743">
      <w:pPr>
        <w:rPr>
          <w:i/>
          <w:sz w:val="20"/>
          <w:szCs w:val="20"/>
        </w:rPr>
      </w:pPr>
    </w:p>
    <w:tbl>
      <w:tblPr>
        <w:tblStyle w:val="TableGrid"/>
        <w:tblW w:w="13675" w:type="dxa"/>
        <w:tblCellMar>
          <w:left w:w="115" w:type="dxa"/>
          <w:bottom w:w="58" w:type="dxa"/>
          <w:right w:w="115" w:type="dxa"/>
        </w:tblCellMar>
        <w:tblLook w:val="04A0" w:firstRow="1" w:lastRow="0" w:firstColumn="1" w:lastColumn="0" w:noHBand="0" w:noVBand="1"/>
      </w:tblPr>
      <w:tblGrid>
        <w:gridCol w:w="6837"/>
        <w:gridCol w:w="6838"/>
      </w:tblGrid>
      <w:tr w:rsidR="00035750" w14:paraId="70F352B1" w14:textId="77777777" w:rsidTr="00D83949">
        <w:trPr>
          <w:trHeight w:val="440"/>
        </w:trPr>
        <w:tc>
          <w:tcPr>
            <w:tcW w:w="6837" w:type="dxa"/>
            <w:shd w:val="clear" w:color="auto" w:fill="D5DCE4" w:themeFill="text2" w:themeFillTint="33"/>
            <w:vAlign w:val="center"/>
          </w:tcPr>
          <w:p w14:paraId="515B4574" w14:textId="643C97FE" w:rsidR="00035750" w:rsidRPr="00195FAE" w:rsidRDefault="00035750" w:rsidP="00195FAE">
            <w:pPr>
              <w:jc w:val="center"/>
              <w:rPr>
                <w:b/>
              </w:rPr>
            </w:pPr>
            <w:r>
              <w:rPr>
                <w:b/>
              </w:rPr>
              <w:t>Performance Improvement Opportunities</w:t>
            </w:r>
          </w:p>
        </w:tc>
        <w:tc>
          <w:tcPr>
            <w:tcW w:w="6838" w:type="dxa"/>
            <w:shd w:val="clear" w:color="auto" w:fill="D5DCE4" w:themeFill="text2" w:themeFillTint="33"/>
            <w:vAlign w:val="center"/>
          </w:tcPr>
          <w:p w14:paraId="35846316" w14:textId="2ABF9036" w:rsidR="00035750" w:rsidRPr="00035750" w:rsidRDefault="00035750" w:rsidP="00035750">
            <w:pPr>
              <w:jc w:val="center"/>
              <w:rPr>
                <w:b/>
              </w:rPr>
            </w:pPr>
            <w:r>
              <w:rPr>
                <w:b/>
              </w:rPr>
              <w:t>Implementation</w:t>
            </w:r>
          </w:p>
        </w:tc>
      </w:tr>
      <w:tr w:rsidR="00035750" w14:paraId="29E15437" w14:textId="77777777" w:rsidTr="00D83949">
        <w:trPr>
          <w:trHeight w:val="1280"/>
        </w:trPr>
        <w:tc>
          <w:tcPr>
            <w:tcW w:w="6837" w:type="dxa"/>
          </w:tcPr>
          <w:p w14:paraId="41B84052" w14:textId="4C1BF16B" w:rsidR="00035750" w:rsidRPr="009955BD" w:rsidRDefault="00035750" w:rsidP="00ED6602">
            <w:pPr>
              <w:pStyle w:val="ListParagraph"/>
              <w:numPr>
                <w:ilvl w:val="0"/>
                <w:numId w:val="1"/>
              </w:numPr>
              <w:rPr>
                <w:sz w:val="20"/>
                <w:szCs w:val="20"/>
              </w:rPr>
            </w:pPr>
            <w:r>
              <w:rPr>
                <w:sz w:val="20"/>
                <w:szCs w:val="20"/>
              </w:rPr>
              <w:t>What is the motivation for regularly reviewing performance data?</w:t>
            </w:r>
          </w:p>
        </w:tc>
        <w:tc>
          <w:tcPr>
            <w:tcW w:w="6838" w:type="dxa"/>
          </w:tcPr>
          <w:p w14:paraId="5488528B" w14:textId="0B87AF43" w:rsidR="00035750" w:rsidRPr="00582C6E" w:rsidRDefault="00035750" w:rsidP="00ED6602">
            <w:pPr>
              <w:pStyle w:val="ListParagraph"/>
              <w:numPr>
                <w:ilvl w:val="0"/>
                <w:numId w:val="6"/>
              </w:numPr>
              <w:rPr>
                <w:sz w:val="20"/>
                <w:szCs w:val="20"/>
              </w:rPr>
            </w:pPr>
            <w:r>
              <w:rPr>
                <w:sz w:val="20"/>
                <w:szCs w:val="20"/>
              </w:rPr>
              <w:t>What is the appropriate cadence for meeting with providers to review real-time performance data and promote continuous learning and improvement?</w:t>
            </w:r>
          </w:p>
        </w:tc>
      </w:tr>
      <w:tr w:rsidR="00035750" w14:paraId="299DD878" w14:textId="77777777" w:rsidTr="00D83949">
        <w:trPr>
          <w:trHeight w:val="1280"/>
        </w:trPr>
        <w:tc>
          <w:tcPr>
            <w:tcW w:w="6837" w:type="dxa"/>
          </w:tcPr>
          <w:p w14:paraId="1CB606FA" w14:textId="4136898F" w:rsidR="00035750" w:rsidRDefault="00035750" w:rsidP="00ED6602">
            <w:pPr>
              <w:pStyle w:val="ListParagraph"/>
              <w:numPr>
                <w:ilvl w:val="0"/>
                <w:numId w:val="2"/>
              </w:numPr>
              <w:rPr>
                <w:sz w:val="20"/>
                <w:szCs w:val="20"/>
              </w:rPr>
            </w:pPr>
            <w:r>
              <w:rPr>
                <w:sz w:val="20"/>
                <w:szCs w:val="20"/>
              </w:rPr>
              <w:t>What are the most important leading indicators, outcome metrics, or other performance measures that we want to be frequently tracking and reviewing with providers? Identify up to five.</w:t>
            </w:r>
          </w:p>
        </w:tc>
        <w:tc>
          <w:tcPr>
            <w:tcW w:w="6838" w:type="dxa"/>
          </w:tcPr>
          <w:p w14:paraId="0E3659B9" w14:textId="44143062" w:rsidR="00035750" w:rsidRDefault="00035750" w:rsidP="00ED6602">
            <w:pPr>
              <w:pStyle w:val="ListParagraph"/>
              <w:numPr>
                <w:ilvl w:val="0"/>
                <w:numId w:val="7"/>
              </w:numPr>
              <w:rPr>
                <w:sz w:val="20"/>
                <w:szCs w:val="20"/>
              </w:rPr>
            </w:pPr>
            <w:r>
              <w:rPr>
                <w:sz w:val="20"/>
                <w:szCs w:val="20"/>
              </w:rPr>
              <w:t>Who needs to regularly be “in the room” to enable rapid barrier busting when performance lags? How can sufficient participation by senior leadership be assured to support these efforts?</w:t>
            </w:r>
          </w:p>
        </w:tc>
      </w:tr>
      <w:tr w:rsidR="00035750" w14:paraId="228A4400" w14:textId="77777777" w:rsidTr="00D83949">
        <w:trPr>
          <w:trHeight w:val="1280"/>
        </w:trPr>
        <w:tc>
          <w:tcPr>
            <w:tcW w:w="6837" w:type="dxa"/>
          </w:tcPr>
          <w:p w14:paraId="249E3456" w14:textId="7B3C987F" w:rsidR="00035750" w:rsidRDefault="00035750" w:rsidP="00ED6602">
            <w:pPr>
              <w:pStyle w:val="ListParagraph"/>
              <w:numPr>
                <w:ilvl w:val="0"/>
                <w:numId w:val="3"/>
              </w:numPr>
              <w:rPr>
                <w:sz w:val="20"/>
                <w:szCs w:val="20"/>
              </w:rPr>
            </w:pPr>
            <w:r>
              <w:rPr>
                <w:sz w:val="20"/>
                <w:szCs w:val="20"/>
              </w:rPr>
              <w:t>Against what benchmarks shall provider performance be compared? Potential benchmarks may include historical outcomes, peers, specified targets, third-party standards, national best practices, or others.</w:t>
            </w:r>
          </w:p>
        </w:tc>
        <w:tc>
          <w:tcPr>
            <w:tcW w:w="6838" w:type="dxa"/>
          </w:tcPr>
          <w:p w14:paraId="644A7A44" w14:textId="2BEF1A76" w:rsidR="00035750" w:rsidRDefault="00035750" w:rsidP="00ED6602">
            <w:pPr>
              <w:pStyle w:val="ListParagraph"/>
              <w:numPr>
                <w:ilvl w:val="0"/>
                <w:numId w:val="8"/>
              </w:numPr>
              <w:rPr>
                <w:sz w:val="20"/>
                <w:szCs w:val="20"/>
              </w:rPr>
            </w:pPr>
            <w:r>
              <w:rPr>
                <w:sz w:val="20"/>
                <w:szCs w:val="20"/>
              </w:rPr>
              <w:t>What data sources are available – or need to be developed – to generate performance information for frequent review? How reliable is this data?</w:t>
            </w:r>
          </w:p>
        </w:tc>
      </w:tr>
      <w:tr w:rsidR="00035750" w14:paraId="16111EF1" w14:textId="77777777" w:rsidTr="00D83949">
        <w:trPr>
          <w:trHeight w:val="1280"/>
        </w:trPr>
        <w:tc>
          <w:tcPr>
            <w:tcW w:w="6837" w:type="dxa"/>
            <w:tcBorders>
              <w:bottom w:val="single" w:sz="4" w:space="0" w:color="auto"/>
            </w:tcBorders>
          </w:tcPr>
          <w:p w14:paraId="14DF8050" w14:textId="5C91C299" w:rsidR="00035750" w:rsidRDefault="00035750" w:rsidP="00ED6602">
            <w:pPr>
              <w:pStyle w:val="ListParagraph"/>
              <w:numPr>
                <w:ilvl w:val="0"/>
                <w:numId w:val="4"/>
              </w:numPr>
              <w:rPr>
                <w:sz w:val="20"/>
                <w:szCs w:val="20"/>
              </w:rPr>
            </w:pPr>
            <w:r>
              <w:rPr>
                <w:sz w:val="20"/>
                <w:szCs w:val="20"/>
              </w:rPr>
              <w:t>In human services, how are we going to match and refer clients to services? How will we check if matching and referral procedures are working?</w:t>
            </w:r>
          </w:p>
        </w:tc>
        <w:tc>
          <w:tcPr>
            <w:tcW w:w="6838" w:type="dxa"/>
            <w:tcBorders>
              <w:bottom w:val="single" w:sz="4" w:space="0" w:color="auto"/>
            </w:tcBorders>
          </w:tcPr>
          <w:p w14:paraId="5D4A454B" w14:textId="26B26013" w:rsidR="00035750" w:rsidRPr="00521D74" w:rsidRDefault="00035750" w:rsidP="00ED6602">
            <w:pPr>
              <w:pStyle w:val="ListParagraph"/>
              <w:numPr>
                <w:ilvl w:val="0"/>
                <w:numId w:val="9"/>
              </w:numPr>
              <w:rPr>
                <w:sz w:val="20"/>
                <w:szCs w:val="20"/>
              </w:rPr>
            </w:pPr>
            <w:r>
              <w:rPr>
                <w:sz w:val="20"/>
                <w:szCs w:val="20"/>
              </w:rPr>
              <w:t>Who from the agency will perform necessary data analysis and develop meeting materials? Who will be responsible for directing further analytical needs and identifying the practice implications raised by the data?</w:t>
            </w:r>
          </w:p>
        </w:tc>
      </w:tr>
      <w:tr w:rsidR="00035750" w14:paraId="2CC32A20" w14:textId="77777777" w:rsidTr="00D83949">
        <w:trPr>
          <w:trHeight w:val="1280"/>
        </w:trPr>
        <w:tc>
          <w:tcPr>
            <w:tcW w:w="6837" w:type="dxa"/>
          </w:tcPr>
          <w:p w14:paraId="304B4680" w14:textId="328453DB" w:rsidR="00035750" w:rsidRDefault="00035750" w:rsidP="00ED6602">
            <w:pPr>
              <w:pStyle w:val="ListParagraph"/>
              <w:numPr>
                <w:ilvl w:val="0"/>
                <w:numId w:val="5"/>
              </w:numPr>
              <w:rPr>
                <w:sz w:val="20"/>
                <w:szCs w:val="20"/>
              </w:rPr>
            </w:pPr>
            <w:r>
              <w:rPr>
                <w:sz w:val="20"/>
                <w:szCs w:val="20"/>
              </w:rPr>
              <w:t>On what topics do we anticipate needing in-depth analysis on provider performance and client outcomes to proactively support system improvement?</w:t>
            </w:r>
          </w:p>
        </w:tc>
        <w:tc>
          <w:tcPr>
            <w:tcW w:w="6838" w:type="dxa"/>
          </w:tcPr>
          <w:p w14:paraId="52DC5C57" w14:textId="59B7C9AA" w:rsidR="00035750" w:rsidRPr="00035750" w:rsidRDefault="00035750" w:rsidP="00ED6602">
            <w:pPr>
              <w:pStyle w:val="ListParagraph"/>
              <w:numPr>
                <w:ilvl w:val="0"/>
                <w:numId w:val="10"/>
              </w:numPr>
              <w:rPr>
                <w:sz w:val="20"/>
                <w:szCs w:val="20"/>
              </w:rPr>
            </w:pPr>
            <w:r>
              <w:rPr>
                <w:sz w:val="20"/>
                <w:szCs w:val="20"/>
              </w:rPr>
              <w:t>How will the agency support regular follow-up and action based on dashboard and roadmap information? Potential solutions may include ad hoc working groups, individual case pulls, and/or dedicated follow-up time on meeting agendas.</w:t>
            </w:r>
          </w:p>
        </w:tc>
      </w:tr>
    </w:tbl>
    <w:p w14:paraId="43A34AAE" w14:textId="77777777" w:rsidR="0042754F" w:rsidRDefault="0042754F" w:rsidP="0042754F">
      <w:pPr>
        <w:tabs>
          <w:tab w:val="left" w:pos="9270"/>
        </w:tabs>
        <w:sectPr w:rsidR="0042754F" w:rsidSect="00C32682">
          <w:headerReference w:type="default" r:id="rId9"/>
          <w:footerReference w:type="default" r:id="rId10"/>
          <w:pgSz w:w="15840" w:h="12240" w:orient="landscape"/>
          <w:pgMar w:top="1440" w:right="1080" w:bottom="1440" w:left="1080" w:header="720" w:footer="720" w:gutter="0"/>
          <w:cols w:space="720"/>
          <w:docGrid w:linePitch="360"/>
        </w:sectPr>
      </w:pPr>
      <w:bookmarkStart w:id="0" w:name="_Toc511304834"/>
    </w:p>
    <w:p w14:paraId="2C8E1B56" w14:textId="1379D313" w:rsidR="0042754F" w:rsidRDefault="0042754F" w:rsidP="0042754F">
      <w:pPr>
        <w:tabs>
          <w:tab w:val="left" w:pos="9270"/>
        </w:tabs>
      </w:pPr>
      <w:r w:rsidRPr="00B52D7C">
        <w:rPr>
          <w:b/>
          <w:noProof/>
          <w:sz w:val="24"/>
          <w:szCs w:val="24"/>
        </w:rPr>
        <w:lastRenderedPageBreak/>
        <mc:AlternateContent>
          <mc:Choice Requires="wps">
            <w:drawing>
              <wp:anchor distT="45720" distB="45720" distL="114300" distR="114300" simplePos="0" relativeHeight="251666432" behindDoc="0" locked="0" layoutInCell="1" allowOverlap="1" wp14:anchorId="0780B425" wp14:editId="6F8BA16A">
                <wp:simplePos x="0" y="0"/>
                <wp:positionH relativeFrom="margin">
                  <wp:posOffset>2457343</wp:posOffset>
                </wp:positionH>
                <wp:positionV relativeFrom="paragraph">
                  <wp:posOffset>43328</wp:posOffset>
                </wp:positionV>
                <wp:extent cx="3479800" cy="7359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735965"/>
                        </a:xfrm>
                        <a:prstGeom prst="rect">
                          <a:avLst/>
                        </a:prstGeom>
                        <a:noFill/>
                        <a:ln w="9525">
                          <a:noFill/>
                          <a:miter lim="800000"/>
                          <a:headEnd/>
                          <a:tailEnd/>
                        </a:ln>
                      </wps:spPr>
                      <wps:txbx>
                        <w:txbxContent>
                          <w:p w14:paraId="284B9B4E" w14:textId="77777777" w:rsidR="0042754F" w:rsidRPr="00B52D7C" w:rsidRDefault="0042754F" w:rsidP="0042754F">
                            <w:pPr>
                              <w:jc w:val="center"/>
                              <w:rPr>
                                <w:b/>
                                <w:color w:val="FFFFFF" w:themeColor="background1"/>
                                <w:sz w:val="32"/>
                                <w:szCs w:val="32"/>
                              </w:rPr>
                            </w:pPr>
                            <w:r>
                              <w:rPr>
                                <w:b/>
                                <w:color w:val="FFFFFF" w:themeColor="background1"/>
                                <w:sz w:val="32"/>
                                <w:szCs w:val="32"/>
                              </w:rPr>
                              <w:t>RFP Appendix for Active Contract Management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80B425" id="_x0000_s1027" type="#_x0000_t202" style="position:absolute;margin-left:193.5pt;margin-top:3.4pt;width:274pt;height:57.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" filled="f" stroked="f">
                <v:textbox>
                  <w:txbxContent>
                    <w:p w14:paraId="284B9B4E" w14:textId="77777777" w:rsidR="0042754F" w:rsidRPr="00B52D7C" w:rsidRDefault="0042754F" w:rsidP="0042754F">
                      <w:pPr>
                        <w:jc w:val="center"/>
                        <w:rPr>
                          <w:b/>
                          <w:color w:val="FFFFFF" w:themeColor="background1"/>
                          <w:sz w:val="32"/>
                          <w:szCs w:val="32"/>
                        </w:rPr>
                      </w:pPr>
                      <w:r>
                        <w:rPr>
                          <w:b/>
                          <w:color w:val="FFFFFF" w:themeColor="background1"/>
                          <w:sz w:val="32"/>
                          <w:szCs w:val="32"/>
                        </w:rPr>
                        <w:t>RFP Appendix for Active Contract Management</w:t>
                      </w:r>
                    </w:p>
                  </w:txbxContent>
                </v:textbox>
                <w10:wrap type="square" anchorx="margin"/>
              </v:shape>
            </w:pict>
          </mc:Fallback>
        </mc:AlternateContent>
      </w:r>
      <w:r w:rsidRPr="00B52D7C">
        <w:rPr>
          <w:b/>
          <w:noProof/>
          <w:sz w:val="24"/>
          <w:szCs w:val="24"/>
        </w:rPr>
        <w:drawing>
          <wp:anchor distT="0" distB="0" distL="114300" distR="114300" simplePos="0" relativeHeight="251665408" behindDoc="1" locked="0" layoutInCell="1" allowOverlap="1" wp14:anchorId="5ABC65A1" wp14:editId="0893B0BA">
            <wp:simplePos x="0" y="0"/>
            <wp:positionH relativeFrom="margin">
              <wp:posOffset>108256</wp:posOffset>
            </wp:positionH>
            <wp:positionV relativeFrom="paragraph">
              <wp:posOffset>117170</wp:posOffset>
            </wp:positionV>
            <wp:extent cx="2352675" cy="665716"/>
            <wp:effectExtent l="0" t="0" r="0" b="1270"/>
            <wp:wrapNone/>
            <wp:docPr id="5" name="Picture 5" descr="Rhode Island Division of Purc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ode Island Division of Purchases"/>
                    <pic:cNvPicPr>
                      <a:picLocks noChangeAspect="1" noChangeArrowheads="1"/>
                    </pic:cNvPicPr>
                  </pic:nvPicPr>
                  <pic:blipFill rotWithShape="1">
                    <a:blip r:embed="rId8">
                      <a:extLst>
                        <a:ext uri="{28A0092B-C50C-407E-A947-70E740481C1C}">
                          <a14:useLocalDpi xmlns:a14="http://schemas.microsoft.com/office/drawing/2010/main" val="0"/>
                        </a:ext>
                      </a:extLst>
                    </a:blip>
                    <a:srcRect r="34871"/>
                    <a:stretch/>
                  </pic:blipFill>
                  <pic:spPr bwMode="auto">
                    <a:xfrm>
                      <a:off x="0" y="0"/>
                      <a:ext cx="2352675" cy="6657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2D7C">
        <w:rPr>
          <w:b/>
          <w:noProof/>
          <w:sz w:val="24"/>
          <w:szCs w:val="24"/>
        </w:rPr>
        <mc:AlternateContent>
          <mc:Choice Requires="wps">
            <w:drawing>
              <wp:anchor distT="0" distB="0" distL="114300" distR="114300" simplePos="0" relativeHeight="251664384" behindDoc="1" locked="0" layoutInCell="1" allowOverlap="1" wp14:anchorId="24EF7DE1" wp14:editId="12BCDDF5">
                <wp:simplePos x="0" y="0"/>
                <wp:positionH relativeFrom="margin">
                  <wp:posOffset>0</wp:posOffset>
                </wp:positionH>
                <wp:positionV relativeFrom="paragraph">
                  <wp:posOffset>11875</wp:posOffset>
                </wp:positionV>
                <wp:extent cx="5937992" cy="833755"/>
                <wp:effectExtent l="0" t="0" r="24765" b="23495"/>
                <wp:wrapNone/>
                <wp:docPr id="4" name="Rectangle 4"/>
                <wp:cNvGraphicFramePr/>
                <a:graphic xmlns:a="http://schemas.openxmlformats.org/drawingml/2006/main">
                  <a:graphicData uri="http://schemas.microsoft.com/office/word/2010/wordprocessingShape">
                    <wps:wsp>
                      <wps:cNvSpPr/>
                      <wps:spPr>
                        <a:xfrm>
                          <a:off x="0" y="0"/>
                          <a:ext cx="5937992" cy="833755"/>
                        </a:xfrm>
                        <a:prstGeom prst="rect">
                          <a:avLst/>
                        </a:prstGeom>
                        <a:solidFill>
                          <a:srgbClr val="003A67"/>
                        </a:solidFill>
                        <a:ln>
                          <a:solidFill>
                            <a:srgbClr val="003A6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B4412" id="Rectangle 4" o:spid="_x0000_s1026" style="position:absolute;margin-left:0;margin-top:.95pt;width:467.55pt;height:65.6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" fillcolor="#003a67" strokecolor="#003a67" strokeweight="1pt">
                <w10:wrap anchorx="margin"/>
              </v:rect>
            </w:pict>
          </mc:Fallback>
        </mc:AlternateContent>
      </w:r>
    </w:p>
    <w:p w14:paraId="62BB9047" w14:textId="77777777" w:rsidR="0042754F" w:rsidRDefault="0042754F" w:rsidP="0042754F"/>
    <w:p w14:paraId="509ACC0F" w14:textId="77777777" w:rsidR="0042754F" w:rsidRDefault="0042754F" w:rsidP="0042754F"/>
    <w:p w14:paraId="6180B348" w14:textId="0F29738F" w:rsidR="0042754F" w:rsidRDefault="0042754F" w:rsidP="0042754F">
      <w:pPr>
        <w:rPr>
          <w:b/>
        </w:rPr>
      </w:pPr>
    </w:p>
    <w:p w14:paraId="14C163B7" w14:textId="565709B5" w:rsidR="0042754F" w:rsidRPr="0042754F" w:rsidRDefault="0042754F" w:rsidP="0042754F">
      <w:pPr>
        <w:rPr>
          <w:b/>
        </w:rPr>
      </w:pPr>
      <w:commentRangeStart w:id="1"/>
      <w:r w:rsidRPr="00B52D7C">
        <w:rPr>
          <w:b/>
        </w:rPr>
        <w:t>A</w:t>
      </w:r>
      <w:r>
        <w:rPr>
          <w:b/>
        </w:rPr>
        <w:t>PPENDIX A</w:t>
      </w:r>
      <w:r w:rsidRPr="00B52D7C">
        <w:rPr>
          <w:b/>
        </w:rPr>
        <w:t>. PRINCIPLES OF ACTIVE CONTRACT MANAGEMENT</w:t>
      </w:r>
      <w:bookmarkEnd w:id="0"/>
      <w:commentRangeEnd w:id="1"/>
      <w:r w:rsidRPr="00B52D7C">
        <w:rPr>
          <w:rStyle w:val="CommentReference"/>
          <w:b/>
        </w:rPr>
        <w:commentReference w:id="1"/>
      </w:r>
      <w:r w:rsidRPr="00B52D7C">
        <w:rPr>
          <w:b/>
        </w:rPr>
        <w:tab/>
      </w:r>
    </w:p>
    <w:p w14:paraId="5F3AC4EC" w14:textId="2CB96673" w:rsidR="0042754F" w:rsidRDefault="0042754F" w:rsidP="0042754F">
      <w:pPr>
        <w:rPr>
          <w:sz w:val="24"/>
          <w:szCs w:val="24"/>
        </w:rPr>
      </w:pPr>
      <w:r>
        <w:rPr>
          <w:sz w:val="24"/>
          <w:szCs w:val="24"/>
        </w:rPr>
        <w:t>The State of Rhode Island seeks to actively and regularly collaborate with the vendor and other stakeholders to enhance accountability and contract management, improve results, and adjust the delivery of products or services based upon learning what works.</w:t>
      </w:r>
    </w:p>
    <w:p w14:paraId="0760DB50" w14:textId="02406AE5" w:rsidR="0042754F" w:rsidRPr="00FA36E8" w:rsidRDefault="0042754F" w:rsidP="0042754F">
      <w:pPr>
        <w:rPr>
          <w:sz w:val="24"/>
          <w:szCs w:val="24"/>
        </w:rPr>
      </w:pPr>
      <w:r>
        <w:rPr>
          <w:sz w:val="24"/>
          <w:szCs w:val="24"/>
        </w:rPr>
        <w:t>As part of this effort, the State expects all awarded vendors to adhere to the following principles of active contract management in order to improve the performance of contracted products and services over time.</w:t>
      </w:r>
    </w:p>
    <w:p w14:paraId="4D173846" w14:textId="71AE3B9F" w:rsidR="0042754F" w:rsidRPr="0042754F" w:rsidRDefault="0042754F" w:rsidP="0042754F">
      <w:pPr>
        <w:pStyle w:val="RICRParagraph1"/>
        <w:numPr>
          <w:ilvl w:val="0"/>
          <w:numId w:val="11"/>
        </w:numPr>
        <w:tabs>
          <w:tab w:val="clear" w:pos="720"/>
          <w:tab w:val="left" w:pos="990"/>
        </w:tabs>
        <w:ind w:left="360"/>
        <w:jc w:val="both"/>
        <w:rPr>
          <w:rFonts w:ascii="Times New Roman" w:hAnsi="Times New Roman" w:cs="Times New Roman"/>
          <w:b/>
          <w:color w:val="0070C0"/>
          <w:sz w:val="24"/>
          <w:szCs w:val="24"/>
        </w:rPr>
      </w:pPr>
      <w:r>
        <w:rPr>
          <w:rFonts w:ascii="Times New Roman" w:hAnsi="Times New Roman" w:cs="Times New Roman"/>
          <w:b/>
          <w:color w:val="0070C0"/>
          <w:sz w:val="24"/>
          <w:szCs w:val="24"/>
        </w:rPr>
        <w:t>Defined Performance Objectives</w:t>
      </w:r>
    </w:p>
    <w:p w14:paraId="0ED6A861" w14:textId="77777777" w:rsidR="0042754F" w:rsidRDefault="0042754F" w:rsidP="0042754F">
      <w:pPr>
        <w:ind w:left="360"/>
        <w:rPr>
          <w:sz w:val="24"/>
          <w:szCs w:val="24"/>
        </w:rPr>
      </w:pPr>
      <w:r>
        <w:rPr>
          <w:sz w:val="24"/>
          <w:szCs w:val="24"/>
        </w:rPr>
        <w:t xml:space="preserve">The vendor and the State recognize the importance of defining key performance objectives that the contracted products or service(s) are intended to accomplish. Performance objectives inform data fields to be collected, outcome </w:t>
      </w:r>
      <w:bookmarkStart w:id="2" w:name="_GoBack"/>
      <w:bookmarkEnd w:id="2"/>
      <w:r>
        <w:rPr>
          <w:sz w:val="24"/>
          <w:szCs w:val="24"/>
        </w:rPr>
        <w:t>and indicator metrics to be reported, and trends to be monitored.</w:t>
      </w:r>
    </w:p>
    <w:p w14:paraId="77F70D1B" w14:textId="462AB942" w:rsidR="0042754F" w:rsidRPr="0042754F" w:rsidRDefault="0042754F" w:rsidP="0042754F">
      <w:pPr>
        <w:pStyle w:val="RICRParagraph1"/>
        <w:numPr>
          <w:ilvl w:val="0"/>
          <w:numId w:val="11"/>
        </w:numPr>
        <w:tabs>
          <w:tab w:val="clear" w:pos="720"/>
          <w:tab w:val="left" w:pos="990"/>
        </w:tabs>
        <w:ind w:left="360"/>
        <w:jc w:val="both"/>
        <w:rPr>
          <w:rFonts w:ascii="Times New Roman" w:hAnsi="Times New Roman" w:cs="Times New Roman"/>
          <w:b/>
          <w:color w:val="0070C0"/>
          <w:sz w:val="24"/>
          <w:szCs w:val="24"/>
        </w:rPr>
      </w:pPr>
      <w:r>
        <w:rPr>
          <w:rFonts w:ascii="Times New Roman" w:hAnsi="Times New Roman" w:cs="Times New Roman"/>
          <w:b/>
          <w:color w:val="0070C0"/>
          <w:sz w:val="24"/>
          <w:szCs w:val="24"/>
        </w:rPr>
        <w:t>Reliable Data Collection and Reporting</w:t>
      </w:r>
    </w:p>
    <w:p w14:paraId="5BBEBD4B" w14:textId="77777777" w:rsidR="0042754F" w:rsidRPr="0012184B" w:rsidRDefault="0042754F" w:rsidP="0042754F">
      <w:pPr>
        <w:ind w:left="360"/>
        <w:rPr>
          <w:sz w:val="24"/>
          <w:szCs w:val="24"/>
        </w:rPr>
      </w:pPr>
      <w:r w:rsidRPr="0012184B">
        <w:rPr>
          <w:sz w:val="24"/>
          <w:szCs w:val="24"/>
        </w:rPr>
        <w:t xml:space="preserve">The vendor and </w:t>
      </w:r>
      <w:r>
        <w:rPr>
          <w:sz w:val="24"/>
          <w:szCs w:val="24"/>
        </w:rPr>
        <w:t xml:space="preserve">State </w:t>
      </w:r>
      <w:r w:rsidRPr="0012184B">
        <w:rPr>
          <w:sz w:val="24"/>
          <w:szCs w:val="24"/>
        </w:rPr>
        <w:t>recognize that reliable and relevant data is necessary to ensure contract compliance, evaluate contract results, and drive improvements and policy decisions. Sharing data between the vendor and the State on a regular basis can ensure that key stakeholders operate with a common understanding of performance and trends.</w:t>
      </w:r>
    </w:p>
    <w:p w14:paraId="63F8D87D" w14:textId="1C5068DE" w:rsidR="0042754F" w:rsidRPr="0042754F" w:rsidRDefault="0042754F" w:rsidP="0042754F">
      <w:pPr>
        <w:pStyle w:val="RICRParagraph1"/>
        <w:numPr>
          <w:ilvl w:val="0"/>
          <w:numId w:val="11"/>
        </w:numPr>
        <w:tabs>
          <w:tab w:val="clear" w:pos="720"/>
          <w:tab w:val="left" w:pos="990"/>
        </w:tabs>
        <w:ind w:left="360"/>
        <w:jc w:val="both"/>
        <w:rPr>
          <w:rFonts w:ascii="Times New Roman" w:hAnsi="Times New Roman" w:cs="Times New Roman"/>
          <w:b/>
          <w:color w:val="0070C0"/>
          <w:sz w:val="24"/>
          <w:szCs w:val="24"/>
        </w:rPr>
      </w:pPr>
      <w:r>
        <w:rPr>
          <w:rFonts w:ascii="Times New Roman" w:hAnsi="Times New Roman" w:cs="Times New Roman"/>
          <w:b/>
          <w:color w:val="0070C0"/>
          <w:sz w:val="24"/>
          <w:szCs w:val="24"/>
        </w:rPr>
        <w:t>Consistent and Collaborative Meetings to Review and Improve Performance</w:t>
      </w:r>
    </w:p>
    <w:p w14:paraId="5C9627C6" w14:textId="77777777" w:rsidR="0042754F" w:rsidRDefault="0042754F" w:rsidP="0042754F">
      <w:pPr>
        <w:ind w:left="360"/>
      </w:pPr>
      <w:r>
        <w:rPr>
          <w:sz w:val="24"/>
          <w:szCs w:val="24"/>
        </w:rPr>
        <w:t>The vendor and the State recognize that regular reviews of and conversations around performance, results and data, particularly related to the defined performance objectives, will allow the State and vendors to employ real-time information to track performance, identify good practice, and swiftly, collaboratively, and effectively address any challenges</w:t>
      </w:r>
    </w:p>
    <w:p w14:paraId="536BAB95" w14:textId="77777777" w:rsidR="00D753A7" w:rsidRPr="00D753A7" w:rsidRDefault="00D753A7" w:rsidP="00D83949">
      <w:pPr>
        <w:spacing w:after="0"/>
      </w:pPr>
    </w:p>
    <w:sectPr w:rsidR="00D753A7" w:rsidRPr="00D753A7" w:rsidSect="0042754F">
      <w:pgSz w:w="12240" w:h="15840"/>
      <w:pgMar w:top="1080" w:right="1440" w:bottom="10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ertz, Kate" w:date="2018-05-07T10:11:00Z" w:initials="MK">
    <w:p w14:paraId="729BC2D6" w14:textId="77777777" w:rsidR="0042754F" w:rsidRDefault="0042754F" w:rsidP="0042754F">
      <w:pPr>
        <w:pStyle w:val="CommentText"/>
      </w:pPr>
      <w:r>
        <w:rPr>
          <w:rStyle w:val="CommentReference"/>
        </w:rPr>
        <w:annotationRef/>
      </w:r>
      <w:r>
        <w:t>Some of the most important work for improving the performance of contracts happens during the course of the contract itself. Agencies can use active contract management strategies to establish an ongoing collaboration with vendors to strategically improve performance.</w:t>
      </w:r>
    </w:p>
    <w:p w14:paraId="5C8E8CD8" w14:textId="77777777" w:rsidR="0042754F" w:rsidRDefault="0042754F" w:rsidP="0042754F">
      <w:pPr>
        <w:pStyle w:val="CommentText"/>
      </w:pPr>
    </w:p>
    <w:p w14:paraId="63BE131B" w14:textId="77777777" w:rsidR="0042754F" w:rsidRDefault="0042754F" w:rsidP="0042754F">
      <w:pPr>
        <w:pStyle w:val="CommentText"/>
      </w:pPr>
      <w:r>
        <w:t xml:space="preserve">For more information on active contract management, see the following policy brief: </w:t>
      </w:r>
      <w:hyperlink r:id="rId1" w:history="1">
        <w:r w:rsidRPr="00A010A3">
          <w:rPr>
            <w:rStyle w:val="Hyperlink"/>
          </w:rPr>
          <w:t>https://govlab.hks.harvard.edu/files/siblab/files/acm_policy_brief.pdf</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BE131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9B4B7" w14:textId="77777777" w:rsidR="00F94317" w:rsidRDefault="00F94317" w:rsidP="00554743">
      <w:pPr>
        <w:spacing w:after="0" w:line="240" w:lineRule="auto"/>
      </w:pPr>
      <w:r>
        <w:separator/>
      </w:r>
    </w:p>
  </w:endnote>
  <w:endnote w:type="continuationSeparator" w:id="0">
    <w:p w14:paraId="1A44D733" w14:textId="77777777" w:rsidR="00F94317" w:rsidRDefault="00F94317" w:rsidP="0055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350C4" w14:textId="421E1977" w:rsidR="001B3343" w:rsidRDefault="00E60289">
    <w:pPr>
      <w:pStyle w:val="Footer"/>
    </w:pPr>
    <w:r w:rsidRPr="00E60289">
      <w:rPr>
        <w:noProof/>
      </w:rPr>
      <w:ptab w:relativeTo="margin" w:alignment="center" w:leader="none"/>
    </w:r>
    <w:r w:rsidRPr="00E60289">
      <w:rPr>
        <w:noProof/>
      </w:rPr>
      <w:ptab w:relativeTo="margin" w:alignment="right" w:leader="none"/>
    </w:r>
    <w:r>
      <w:rPr>
        <w:noProof/>
      </w:rPr>
      <w:t>v. 5/14/18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4B38C" w14:textId="77777777" w:rsidR="00F94317" w:rsidRDefault="00F94317" w:rsidP="00554743">
      <w:pPr>
        <w:spacing w:after="0" w:line="240" w:lineRule="auto"/>
      </w:pPr>
      <w:r>
        <w:separator/>
      </w:r>
    </w:p>
  </w:footnote>
  <w:footnote w:type="continuationSeparator" w:id="0">
    <w:p w14:paraId="3573B84D" w14:textId="77777777" w:rsidR="00F94317" w:rsidRDefault="00F94317" w:rsidP="00554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B5F23" w14:textId="2E211BD9" w:rsidR="001B3343" w:rsidRDefault="001B3343" w:rsidP="00D83949">
    <w:pPr>
      <w:pStyle w:val="Header"/>
      <w:tabs>
        <w:tab w:val="clear" w:pos="9360"/>
        <w:tab w:val="right" w:pos="13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C36"/>
    <w:multiLevelType w:val="hybridMultilevel"/>
    <w:tmpl w:val="DE5CF952"/>
    <w:lvl w:ilvl="0" w:tplc="A36A861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B6923"/>
    <w:multiLevelType w:val="hybridMultilevel"/>
    <w:tmpl w:val="41DCE264"/>
    <w:lvl w:ilvl="0" w:tplc="8904D1E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B0F91"/>
    <w:multiLevelType w:val="hybridMultilevel"/>
    <w:tmpl w:val="B86ED1E2"/>
    <w:lvl w:ilvl="0" w:tplc="8C4007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4117E"/>
    <w:multiLevelType w:val="hybridMultilevel"/>
    <w:tmpl w:val="DFD47DF0"/>
    <w:lvl w:ilvl="0" w:tplc="1730ED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31388"/>
    <w:multiLevelType w:val="hybridMultilevel"/>
    <w:tmpl w:val="0E1A3F22"/>
    <w:lvl w:ilvl="0" w:tplc="72605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3E0164"/>
    <w:multiLevelType w:val="hybridMultilevel"/>
    <w:tmpl w:val="2592A282"/>
    <w:lvl w:ilvl="0" w:tplc="1E00333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DD6C0E"/>
    <w:multiLevelType w:val="hybridMultilevel"/>
    <w:tmpl w:val="3D020382"/>
    <w:lvl w:ilvl="0" w:tplc="ADB2332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B0466"/>
    <w:multiLevelType w:val="hybridMultilevel"/>
    <w:tmpl w:val="D81670E6"/>
    <w:lvl w:ilvl="0" w:tplc="870E8D9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0843F8"/>
    <w:multiLevelType w:val="hybridMultilevel"/>
    <w:tmpl w:val="73168758"/>
    <w:lvl w:ilvl="0" w:tplc="75D8648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287094"/>
    <w:multiLevelType w:val="hybridMultilevel"/>
    <w:tmpl w:val="563C8CA8"/>
    <w:lvl w:ilvl="0" w:tplc="F0C2D0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A31B90"/>
    <w:multiLevelType w:val="hybridMultilevel"/>
    <w:tmpl w:val="1BF618C6"/>
    <w:lvl w:ilvl="0" w:tplc="64FA47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2"/>
  </w:num>
  <w:num w:numId="5">
    <w:abstractNumId w:val="1"/>
  </w:num>
  <w:num w:numId="6">
    <w:abstractNumId w:val="5"/>
  </w:num>
  <w:num w:numId="7">
    <w:abstractNumId w:val="7"/>
  </w:num>
  <w:num w:numId="8">
    <w:abstractNumId w:val="6"/>
  </w:num>
  <w:num w:numId="9">
    <w:abstractNumId w:val="0"/>
  </w:num>
  <w:num w:numId="10">
    <w:abstractNumId w:val="8"/>
  </w:num>
  <w:num w:numId="11">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tz, Kate">
    <w15:presenceInfo w15:providerId="AD" w15:userId="S-1-5-21-2495159159-2180551235-2419784266-85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B7"/>
    <w:rsid w:val="0000243A"/>
    <w:rsid w:val="00021779"/>
    <w:rsid w:val="00021E68"/>
    <w:rsid w:val="00035750"/>
    <w:rsid w:val="00035E31"/>
    <w:rsid w:val="000542D1"/>
    <w:rsid w:val="00066D46"/>
    <w:rsid w:val="0007464B"/>
    <w:rsid w:val="00086D2B"/>
    <w:rsid w:val="000B6B4C"/>
    <w:rsid w:val="000D3DF7"/>
    <w:rsid w:val="000D6FE7"/>
    <w:rsid w:val="000E499A"/>
    <w:rsid w:val="00107752"/>
    <w:rsid w:val="0011122D"/>
    <w:rsid w:val="00117F45"/>
    <w:rsid w:val="00121473"/>
    <w:rsid w:val="00121662"/>
    <w:rsid w:val="00133CC1"/>
    <w:rsid w:val="00147EDC"/>
    <w:rsid w:val="0015391D"/>
    <w:rsid w:val="001821AA"/>
    <w:rsid w:val="00185C8E"/>
    <w:rsid w:val="00187DA1"/>
    <w:rsid w:val="0019294D"/>
    <w:rsid w:val="00195FAE"/>
    <w:rsid w:val="001A77EF"/>
    <w:rsid w:val="001B04F9"/>
    <w:rsid w:val="001B3343"/>
    <w:rsid w:val="001C7020"/>
    <w:rsid w:val="001C798E"/>
    <w:rsid w:val="001D0C93"/>
    <w:rsid w:val="001D4766"/>
    <w:rsid w:val="001F0B08"/>
    <w:rsid w:val="00200F62"/>
    <w:rsid w:val="0020284A"/>
    <w:rsid w:val="002179F4"/>
    <w:rsid w:val="0022430B"/>
    <w:rsid w:val="00231988"/>
    <w:rsid w:val="00253812"/>
    <w:rsid w:val="00255592"/>
    <w:rsid w:val="002620B9"/>
    <w:rsid w:val="0027659E"/>
    <w:rsid w:val="002A3F5F"/>
    <w:rsid w:val="002B2564"/>
    <w:rsid w:val="002C5A5F"/>
    <w:rsid w:val="002D5D52"/>
    <w:rsid w:val="00307B6E"/>
    <w:rsid w:val="00307C90"/>
    <w:rsid w:val="0032282F"/>
    <w:rsid w:val="00331871"/>
    <w:rsid w:val="00333495"/>
    <w:rsid w:val="0033641D"/>
    <w:rsid w:val="003454E4"/>
    <w:rsid w:val="00347C61"/>
    <w:rsid w:val="00394A13"/>
    <w:rsid w:val="003A4F40"/>
    <w:rsid w:val="003A7215"/>
    <w:rsid w:val="003B0270"/>
    <w:rsid w:val="003B40EE"/>
    <w:rsid w:val="003E0260"/>
    <w:rsid w:val="003E3987"/>
    <w:rsid w:val="003F3240"/>
    <w:rsid w:val="003F3791"/>
    <w:rsid w:val="003F581A"/>
    <w:rsid w:val="00402FA3"/>
    <w:rsid w:val="00407EE4"/>
    <w:rsid w:val="0042754F"/>
    <w:rsid w:val="0043582B"/>
    <w:rsid w:val="00440F13"/>
    <w:rsid w:val="0048252C"/>
    <w:rsid w:val="00483014"/>
    <w:rsid w:val="004973F0"/>
    <w:rsid w:val="004A46B4"/>
    <w:rsid w:val="004A4CA6"/>
    <w:rsid w:val="004A5971"/>
    <w:rsid w:val="004B2251"/>
    <w:rsid w:val="004B231D"/>
    <w:rsid w:val="004B329B"/>
    <w:rsid w:val="004B3DE5"/>
    <w:rsid w:val="004B4292"/>
    <w:rsid w:val="004D2C1A"/>
    <w:rsid w:val="004E5AAF"/>
    <w:rsid w:val="004F5ECF"/>
    <w:rsid w:val="00516DD0"/>
    <w:rsid w:val="00521D74"/>
    <w:rsid w:val="00536784"/>
    <w:rsid w:val="00547BB1"/>
    <w:rsid w:val="00547CAF"/>
    <w:rsid w:val="005539FA"/>
    <w:rsid w:val="00554743"/>
    <w:rsid w:val="00577F42"/>
    <w:rsid w:val="00582C6E"/>
    <w:rsid w:val="005C29B3"/>
    <w:rsid w:val="005E3BFE"/>
    <w:rsid w:val="005F7777"/>
    <w:rsid w:val="006206CB"/>
    <w:rsid w:val="006427F9"/>
    <w:rsid w:val="00650A50"/>
    <w:rsid w:val="00667959"/>
    <w:rsid w:val="00670D18"/>
    <w:rsid w:val="00676308"/>
    <w:rsid w:val="006807DD"/>
    <w:rsid w:val="00681259"/>
    <w:rsid w:val="00683BBC"/>
    <w:rsid w:val="006A24D5"/>
    <w:rsid w:val="006A6A52"/>
    <w:rsid w:val="006B1523"/>
    <w:rsid w:val="006B32E3"/>
    <w:rsid w:val="006B6E9A"/>
    <w:rsid w:val="006D0EC4"/>
    <w:rsid w:val="006D360F"/>
    <w:rsid w:val="0072645D"/>
    <w:rsid w:val="00741E3D"/>
    <w:rsid w:val="00754078"/>
    <w:rsid w:val="007B7D15"/>
    <w:rsid w:val="007C0877"/>
    <w:rsid w:val="007D7AF5"/>
    <w:rsid w:val="007E1B47"/>
    <w:rsid w:val="00806E1C"/>
    <w:rsid w:val="008213CB"/>
    <w:rsid w:val="00821FBE"/>
    <w:rsid w:val="00843262"/>
    <w:rsid w:val="0088037B"/>
    <w:rsid w:val="008965D7"/>
    <w:rsid w:val="008B6E22"/>
    <w:rsid w:val="008D7F2F"/>
    <w:rsid w:val="008E4590"/>
    <w:rsid w:val="00907F6B"/>
    <w:rsid w:val="00911482"/>
    <w:rsid w:val="00911ACC"/>
    <w:rsid w:val="0092246A"/>
    <w:rsid w:val="00922E2F"/>
    <w:rsid w:val="00933408"/>
    <w:rsid w:val="009427C0"/>
    <w:rsid w:val="00964180"/>
    <w:rsid w:val="009772EB"/>
    <w:rsid w:val="00985180"/>
    <w:rsid w:val="009955BD"/>
    <w:rsid w:val="009B0B97"/>
    <w:rsid w:val="009C11A4"/>
    <w:rsid w:val="009D3177"/>
    <w:rsid w:val="009E447C"/>
    <w:rsid w:val="009E7E23"/>
    <w:rsid w:val="00A0398B"/>
    <w:rsid w:val="00A10430"/>
    <w:rsid w:val="00A12635"/>
    <w:rsid w:val="00A40AC8"/>
    <w:rsid w:val="00A45636"/>
    <w:rsid w:val="00A75F71"/>
    <w:rsid w:val="00A94817"/>
    <w:rsid w:val="00AB3147"/>
    <w:rsid w:val="00AC62E7"/>
    <w:rsid w:val="00AD2C7B"/>
    <w:rsid w:val="00AF472F"/>
    <w:rsid w:val="00B1001F"/>
    <w:rsid w:val="00B4630B"/>
    <w:rsid w:val="00B51C3E"/>
    <w:rsid w:val="00B52F51"/>
    <w:rsid w:val="00B66DA1"/>
    <w:rsid w:val="00B97E78"/>
    <w:rsid w:val="00BA1549"/>
    <w:rsid w:val="00BA180C"/>
    <w:rsid w:val="00BE0DC3"/>
    <w:rsid w:val="00BF3921"/>
    <w:rsid w:val="00BF7348"/>
    <w:rsid w:val="00C033AB"/>
    <w:rsid w:val="00C11CB8"/>
    <w:rsid w:val="00C12999"/>
    <w:rsid w:val="00C16135"/>
    <w:rsid w:val="00C16EDD"/>
    <w:rsid w:val="00C16F30"/>
    <w:rsid w:val="00C231BF"/>
    <w:rsid w:val="00C30D76"/>
    <w:rsid w:val="00C32682"/>
    <w:rsid w:val="00C4261C"/>
    <w:rsid w:val="00C44494"/>
    <w:rsid w:val="00C54E39"/>
    <w:rsid w:val="00C57373"/>
    <w:rsid w:val="00C75232"/>
    <w:rsid w:val="00C95D3D"/>
    <w:rsid w:val="00CC150E"/>
    <w:rsid w:val="00CD1E21"/>
    <w:rsid w:val="00CD4809"/>
    <w:rsid w:val="00CF2D9D"/>
    <w:rsid w:val="00CF676A"/>
    <w:rsid w:val="00D1099D"/>
    <w:rsid w:val="00D20BC3"/>
    <w:rsid w:val="00D34DAA"/>
    <w:rsid w:val="00D36BB7"/>
    <w:rsid w:val="00D5546E"/>
    <w:rsid w:val="00D62B84"/>
    <w:rsid w:val="00D65715"/>
    <w:rsid w:val="00D7376E"/>
    <w:rsid w:val="00D753A7"/>
    <w:rsid w:val="00D820F0"/>
    <w:rsid w:val="00D83949"/>
    <w:rsid w:val="00D87257"/>
    <w:rsid w:val="00DA19A6"/>
    <w:rsid w:val="00DA2E19"/>
    <w:rsid w:val="00DC2B13"/>
    <w:rsid w:val="00DD423A"/>
    <w:rsid w:val="00E05EB7"/>
    <w:rsid w:val="00E14678"/>
    <w:rsid w:val="00E1790C"/>
    <w:rsid w:val="00E52C05"/>
    <w:rsid w:val="00E60289"/>
    <w:rsid w:val="00E70E8C"/>
    <w:rsid w:val="00E74CC2"/>
    <w:rsid w:val="00E8709C"/>
    <w:rsid w:val="00ED6602"/>
    <w:rsid w:val="00F05F04"/>
    <w:rsid w:val="00F11B16"/>
    <w:rsid w:val="00F131FF"/>
    <w:rsid w:val="00F3357C"/>
    <w:rsid w:val="00F46FEC"/>
    <w:rsid w:val="00F734BF"/>
    <w:rsid w:val="00F75466"/>
    <w:rsid w:val="00F935D0"/>
    <w:rsid w:val="00F94317"/>
    <w:rsid w:val="00FA3B6C"/>
    <w:rsid w:val="00FC0C67"/>
    <w:rsid w:val="00FC3704"/>
    <w:rsid w:val="00FC409A"/>
    <w:rsid w:val="00FC4B8A"/>
    <w:rsid w:val="00FC5DD9"/>
    <w:rsid w:val="00FC673E"/>
    <w:rsid w:val="00FD23F7"/>
    <w:rsid w:val="00FD58E1"/>
    <w:rsid w:val="00FE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B1655"/>
  <w15:chartTrackingRefBased/>
  <w15:docId w15:val="{1FE7899D-2336-4EA2-9F7F-7A1E9181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743"/>
  </w:style>
  <w:style w:type="paragraph" w:styleId="Footer">
    <w:name w:val="footer"/>
    <w:basedOn w:val="Normal"/>
    <w:link w:val="FooterChar"/>
    <w:uiPriority w:val="99"/>
    <w:unhideWhenUsed/>
    <w:rsid w:val="00554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743"/>
  </w:style>
  <w:style w:type="paragraph" w:styleId="ListParagraph">
    <w:name w:val="List Paragraph"/>
    <w:basedOn w:val="Normal"/>
    <w:uiPriority w:val="34"/>
    <w:qFormat/>
    <w:rsid w:val="00554743"/>
    <w:pPr>
      <w:ind w:left="720"/>
      <w:contextualSpacing/>
    </w:pPr>
  </w:style>
  <w:style w:type="character" w:styleId="CommentReference">
    <w:name w:val="annotation reference"/>
    <w:basedOn w:val="DefaultParagraphFont"/>
    <w:unhideWhenUsed/>
    <w:rsid w:val="00554743"/>
    <w:rPr>
      <w:sz w:val="16"/>
      <w:szCs w:val="16"/>
    </w:rPr>
  </w:style>
  <w:style w:type="paragraph" w:styleId="CommentText">
    <w:name w:val="annotation text"/>
    <w:basedOn w:val="Normal"/>
    <w:link w:val="CommentTextChar"/>
    <w:unhideWhenUsed/>
    <w:rsid w:val="00554743"/>
    <w:pPr>
      <w:spacing w:line="240" w:lineRule="auto"/>
    </w:pPr>
    <w:rPr>
      <w:sz w:val="20"/>
      <w:szCs w:val="20"/>
    </w:rPr>
  </w:style>
  <w:style w:type="character" w:customStyle="1" w:styleId="CommentTextChar">
    <w:name w:val="Comment Text Char"/>
    <w:basedOn w:val="DefaultParagraphFont"/>
    <w:link w:val="CommentText"/>
    <w:rsid w:val="00554743"/>
    <w:rPr>
      <w:sz w:val="20"/>
      <w:szCs w:val="20"/>
    </w:rPr>
  </w:style>
  <w:style w:type="paragraph" w:styleId="CommentSubject">
    <w:name w:val="annotation subject"/>
    <w:basedOn w:val="CommentText"/>
    <w:next w:val="CommentText"/>
    <w:link w:val="CommentSubjectChar"/>
    <w:uiPriority w:val="99"/>
    <w:semiHidden/>
    <w:unhideWhenUsed/>
    <w:rsid w:val="00554743"/>
    <w:rPr>
      <w:b/>
      <w:bCs/>
    </w:rPr>
  </w:style>
  <w:style w:type="character" w:customStyle="1" w:styleId="CommentSubjectChar">
    <w:name w:val="Comment Subject Char"/>
    <w:basedOn w:val="CommentTextChar"/>
    <w:link w:val="CommentSubject"/>
    <w:uiPriority w:val="99"/>
    <w:semiHidden/>
    <w:rsid w:val="00554743"/>
    <w:rPr>
      <w:b/>
      <w:bCs/>
      <w:sz w:val="20"/>
      <w:szCs w:val="20"/>
    </w:rPr>
  </w:style>
  <w:style w:type="paragraph" w:styleId="BalloonText">
    <w:name w:val="Balloon Text"/>
    <w:basedOn w:val="Normal"/>
    <w:link w:val="BalloonTextChar"/>
    <w:uiPriority w:val="99"/>
    <w:semiHidden/>
    <w:unhideWhenUsed/>
    <w:rsid w:val="00554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743"/>
    <w:rPr>
      <w:rFonts w:ascii="Segoe UI" w:hAnsi="Segoe UI" w:cs="Segoe UI"/>
      <w:sz w:val="18"/>
      <w:szCs w:val="18"/>
    </w:rPr>
  </w:style>
  <w:style w:type="table" w:styleId="TableGrid">
    <w:name w:val="Table Grid"/>
    <w:basedOn w:val="TableNormal"/>
    <w:uiPriority w:val="39"/>
    <w:rsid w:val="00554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63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308"/>
    <w:rPr>
      <w:sz w:val="20"/>
      <w:szCs w:val="20"/>
    </w:rPr>
  </w:style>
  <w:style w:type="character" w:styleId="FootnoteReference">
    <w:name w:val="footnote reference"/>
    <w:basedOn w:val="DefaultParagraphFont"/>
    <w:uiPriority w:val="99"/>
    <w:semiHidden/>
    <w:unhideWhenUsed/>
    <w:rsid w:val="00676308"/>
    <w:rPr>
      <w:vertAlign w:val="superscript"/>
    </w:rPr>
  </w:style>
  <w:style w:type="character" w:styleId="Hyperlink">
    <w:name w:val="Hyperlink"/>
    <w:basedOn w:val="DefaultParagraphFont"/>
    <w:uiPriority w:val="99"/>
    <w:unhideWhenUsed/>
    <w:rsid w:val="00676308"/>
    <w:rPr>
      <w:color w:val="0563C1" w:themeColor="hyperlink"/>
      <w:u w:val="single"/>
    </w:rPr>
  </w:style>
  <w:style w:type="paragraph" w:customStyle="1" w:styleId="RICRParagraph1">
    <w:name w:val="RICR Paragraph 1"/>
    <w:basedOn w:val="Normal"/>
    <w:rsid w:val="0042754F"/>
    <w:pPr>
      <w:tabs>
        <w:tab w:val="left" w:pos="720"/>
        <w:tab w:val="left" w:pos="1440"/>
        <w:tab w:val="left" w:pos="2160"/>
      </w:tabs>
      <w:spacing w:before="240" w:after="0" w:line="240" w:lineRule="auto"/>
      <w:ind w:left="720" w:hanging="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govlab.hks.harvard.edu/files/siblab/files/acm_policy_brief.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16B87-2F97-47D8-8A7B-87F289DF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Mertz, Kate</dc:creator>
  <cp:keywords/>
  <dc:description/>
  <cp:lastModifiedBy>Mertz, Kate</cp:lastModifiedBy>
  <cp:revision>3</cp:revision>
  <dcterms:created xsi:type="dcterms:W3CDTF">2018-05-14T18:49:00Z</dcterms:created>
  <dcterms:modified xsi:type="dcterms:W3CDTF">2018-05-22T18:54:00Z</dcterms:modified>
</cp:coreProperties>
</file>